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6F1A" w:rsidRDefault="008F6F1A" w:rsidP="00B61A3B">
      <w:pPr>
        <w:bidi/>
        <w:jc w:val="center"/>
        <w:rPr>
          <w:rFonts w:ascii="Traditional Arabic" w:hAnsi="Traditional Arabic" w:cs="Traditional Arabic"/>
          <w:b/>
          <w:bCs/>
          <w:sz w:val="32"/>
          <w:szCs w:val="32"/>
          <w:rtl/>
          <w:lang w:bidi="ar-DZ"/>
        </w:rPr>
      </w:pPr>
      <w:bookmarkStart w:id="0" w:name="_GoBack"/>
      <w:bookmarkEnd w:id="0"/>
      <w:r>
        <w:rPr>
          <w:rFonts w:ascii="Traditional Arabic" w:hAnsi="Traditional Arabic" w:cs="Traditional Arabic" w:hint="cs"/>
          <w:b/>
          <w:bCs/>
          <w:sz w:val="32"/>
          <w:szCs w:val="32"/>
          <w:rtl/>
          <w:lang w:bidi="ar-DZ"/>
        </w:rPr>
        <w:t>جامعة 08 ماي 1945</w:t>
      </w:r>
    </w:p>
    <w:p w:rsidR="008F6F1A" w:rsidRDefault="008F6F1A" w:rsidP="00B61A3B">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الطالبة: مخالفة فاطمة زهراء.</w:t>
      </w:r>
    </w:p>
    <w:p w:rsidR="008F6F1A" w:rsidRDefault="008F6F1A" w:rsidP="00B61A3B">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الدرجة العلمية: طالبة دكتوراه.</w:t>
      </w:r>
    </w:p>
    <w:p w:rsidR="008F6F1A" w:rsidRDefault="008F6F1A" w:rsidP="00B61A3B">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المؤسسة الأصلية: جامعة 08 ماي 1945 قالمة.</w:t>
      </w:r>
    </w:p>
    <w:p w:rsidR="008F6F1A" w:rsidRDefault="008F6F1A" w:rsidP="00B61A3B">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الهاتف: 0674634638.</w:t>
      </w:r>
    </w:p>
    <w:p w:rsidR="008F6F1A" w:rsidRDefault="008F6F1A" w:rsidP="00B61A3B">
      <w:pPr>
        <w:bidi/>
        <w:jc w:val="left"/>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البريد الالكتروني: </w:t>
      </w:r>
      <w:hyperlink r:id="rId8" w:history="1">
        <w:r w:rsidRPr="00110CA5">
          <w:rPr>
            <w:rStyle w:val="Lienhypertexte"/>
            <w:rFonts w:ascii="Traditional Arabic" w:hAnsi="Traditional Arabic" w:cs="Traditional Arabic"/>
            <w:b/>
            <w:bCs/>
            <w:sz w:val="32"/>
            <w:szCs w:val="32"/>
            <w:lang w:bidi="ar-DZ"/>
          </w:rPr>
          <w:t>zahratoutou103@gmail.com</w:t>
        </w:r>
      </w:hyperlink>
    </w:p>
    <w:p w:rsidR="008F6F1A" w:rsidRDefault="008F6F1A" w:rsidP="00B61A3B">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المحور: المحور الأول: تطور النظام التشريعي في الجزائر منذ بداية الاحتلال الى غاية 1870.</w:t>
      </w:r>
    </w:p>
    <w:p w:rsidR="008F6F1A" w:rsidRDefault="008F6F1A" w:rsidP="00B61A3B">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عنوان المداخلة: قانون السيانتيس كونسيلت 1863 وأثاره على القبائل الأهلية في الجزائر المستعمرة.</w:t>
      </w:r>
    </w:p>
    <w:p w:rsidR="00206B92" w:rsidRPr="00206B92" w:rsidRDefault="00206B92" w:rsidP="00B61A3B">
      <w:pPr>
        <w:bidi/>
        <w:jc w:val="left"/>
        <w:rPr>
          <w:rFonts w:ascii="Traditional Arabic" w:hAnsi="Traditional Arabic" w:cs="Traditional Arabic"/>
          <w:b/>
          <w:bCs/>
          <w:sz w:val="32"/>
          <w:szCs w:val="32"/>
          <w:rtl/>
          <w:lang w:bidi="ar-DZ"/>
        </w:rPr>
      </w:pPr>
      <w:r w:rsidRPr="00206B92">
        <w:rPr>
          <w:rFonts w:ascii="Traditional Arabic" w:hAnsi="Traditional Arabic" w:cs="Traditional Arabic" w:hint="cs"/>
          <w:b/>
          <w:bCs/>
          <w:sz w:val="32"/>
          <w:szCs w:val="32"/>
          <w:rtl/>
          <w:lang w:bidi="ar-DZ"/>
        </w:rPr>
        <w:t xml:space="preserve">الملخص: </w:t>
      </w:r>
    </w:p>
    <w:p w:rsidR="003B3525" w:rsidRDefault="00155670" w:rsidP="00B61A3B">
      <w:pPr>
        <w:bidi/>
        <w:jc w:val="left"/>
        <w:rPr>
          <w:rFonts w:ascii="Traditional Arabic" w:hAnsi="Traditional Arabic" w:cs="Traditional Arabic"/>
          <w:sz w:val="32"/>
          <w:szCs w:val="32"/>
          <w:rtl/>
          <w:lang w:bidi="ar-DZ"/>
        </w:rPr>
      </w:pPr>
      <w:r w:rsidRPr="00206B92">
        <w:rPr>
          <w:rFonts w:ascii="Traditional Arabic" w:hAnsi="Traditional Arabic" w:cs="Traditional Arabic"/>
          <w:sz w:val="32"/>
          <w:szCs w:val="32"/>
          <w:rtl/>
          <w:lang w:bidi="ar-DZ"/>
        </w:rPr>
        <w:t xml:space="preserve">لقد أثر عدم اليقين بمستقبل الجزائر في السنوات الأولى من الاحتلال على السياسة الاستعمارية الفرنسية، حيث عمدت الى أساليب غاية في التناقض والوحشية عما تعهدت به في وثيقة الاستسلام، حيث تركزت جهودها في البداية على حيازة الأراضي التي تحكمت فيها مجموعة من الأسباب كان أبرزها المقاومات التي كانت تقوم بين الحين والآخر، ولكن بمجرد ضم الجزائر والحاقها بالممتلكات الفرنسية في شمال افريقيا توجب سن تشريعات وقوانين جديدة تهدف الى تمكين الاستعمار في الأرض وطمأنة الحكومة المركزية في فرنسا </w:t>
      </w:r>
      <w:r w:rsidR="00296E43" w:rsidRPr="00206B92">
        <w:rPr>
          <w:rFonts w:ascii="Traditional Arabic" w:hAnsi="Traditional Arabic" w:cs="Traditional Arabic"/>
          <w:sz w:val="32"/>
          <w:szCs w:val="32"/>
          <w:rtl/>
          <w:lang w:bidi="ar-DZ"/>
        </w:rPr>
        <w:t xml:space="preserve">عن الوضع في الجزائر والحفاظ على التقدم الذي حققه الاستعمار ومحاولة التوغل في </w:t>
      </w:r>
      <w:r w:rsidR="00584C2A" w:rsidRPr="00206B92">
        <w:rPr>
          <w:rFonts w:ascii="Traditional Arabic" w:hAnsi="Traditional Arabic" w:cs="Traditional Arabic"/>
          <w:sz w:val="32"/>
          <w:szCs w:val="32"/>
          <w:rtl/>
          <w:lang w:bidi="ar-DZ"/>
        </w:rPr>
        <w:t xml:space="preserve">الداخل، ومن هذه التشريعات قانون السيناتيس كونسيلت الصادر في 22 أفريل 1863 الذي </w:t>
      </w:r>
      <w:r w:rsidR="00206B92" w:rsidRPr="00206B92">
        <w:rPr>
          <w:rFonts w:ascii="Traditional Arabic" w:hAnsi="Traditional Arabic" w:cs="Traditional Arabic"/>
          <w:sz w:val="32"/>
          <w:szCs w:val="32"/>
          <w:rtl/>
          <w:lang w:bidi="ar-DZ"/>
        </w:rPr>
        <w:t>جاء لمعالجة مشكلة أراضي القبائل الأهلية، فما هي الخلفية القانونية له؟ ما مضمونه ومحتواه؟ وماهي آثاره وتداعياته على الأهالي المسلمين في الجزائر المستعمرة؟</w:t>
      </w:r>
    </w:p>
    <w:p w:rsidR="00206B92" w:rsidRDefault="00206B92" w:rsidP="00B61A3B">
      <w:pPr>
        <w:bidi/>
        <w:jc w:val="left"/>
        <w:rPr>
          <w:rFonts w:ascii="Traditional Arabic" w:hAnsi="Traditional Arabic" w:cs="Traditional Arabic"/>
          <w:sz w:val="32"/>
          <w:szCs w:val="32"/>
          <w:rtl/>
          <w:lang w:bidi="ar-DZ"/>
        </w:rPr>
      </w:pPr>
      <w:r w:rsidRPr="00206B92">
        <w:rPr>
          <w:rFonts w:ascii="Traditional Arabic" w:hAnsi="Traditional Arabic" w:cs="Traditional Arabic" w:hint="cs"/>
          <w:b/>
          <w:bCs/>
          <w:sz w:val="32"/>
          <w:szCs w:val="32"/>
          <w:rtl/>
          <w:lang w:bidi="ar-DZ"/>
        </w:rPr>
        <w:t>الكلمات المفتاحية:</w:t>
      </w:r>
      <w:r>
        <w:rPr>
          <w:rFonts w:ascii="Traditional Arabic" w:hAnsi="Traditional Arabic" w:cs="Traditional Arabic" w:hint="cs"/>
          <w:sz w:val="32"/>
          <w:szCs w:val="32"/>
          <w:rtl/>
          <w:lang w:bidi="ar-DZ"/>
        </w:rPr>
        <w:t xml:space="preserve"> قانون، سيناتيس كونسيلت، مصادرة الأراضي، القبائل الاهلية.</w:t>
      </w:r>
    </w:p>
    <w:p w:rsidR="00206B92" w:rsidRDefault="00206B92" w:rsidP="00B61A3B">
      <w:pPr>
        <w:jc w:val="left"/>
        <w:rPr>
          <w:rStyle w:val="rynqvb"/>
          <w:rFonts w:ascii="Traditional Arabic" w:hAnsi="Traditional Arabic" w:cs="Traditional Arabic"/>
          <w:sz w:val="32"/>
          <w:szCs w:val="32"/>
          <w:rtl/>
          <w:lang w:val="en"/>
        </w:rPr>
      </w:pPr>
      <w:r w:rsidRPr="008F6F1A">
        <w:rPr>
          <w:rStyle w:val="rynqvb"/>
          <w:rFonts w:ascii="Traditional Arabic" w:hAnsi="Traditional Arabic" w:cs="Traditional Arabic"/>
          <w:sz w:val="32"/>
          <w:szCs w:val="32"/>
          <w:lang w:val="en"/>
        </w:rPr>
        <w:t>Summary: The uncertainty at first affected Algeria at first from the first degree of occupation in the French colonial policy, in which it proceeded to the extreme of contradiction and French brutality, what it pledged in the document of surrender, operating, fixing Algeria and attaching to the property, alongside the Senatis Consult before 22</w:t>
      </w:r>
      <w:r w:rsidRPr="008F6F1A">
        <w:rPr>
          <w:rStyle w:val="hwtze"/>
          <w:rFonts w:ascii="Traditional Arabic" w:hAnsi="Traditional Arabic" w:cs="Traditional Arabic"/>
          <w:sz w:val="32"/>
          <w:szCs w:val="32"/>
          <w:lang w:val="en"/>
        </w:rPr>
        <w:t xml:space="preserve"> </w:t>
      </w:r>
      <w:r w:rsidRPr="008F6F1A">
        <w:rPr>
          <w:rStyle w:val="rynqvb"/>
          <w:rFonts w:ascii="Traditional Arabic" w:hAnsi="Traditional Arabic" w:cs="Traditional Arabic"/>
          <w:sz w:val="32"/>
          <w:szCs w:val="32"/>
          <w:lang w:val="en"/>
        </w:rPr>
        <w:t xml:space="preserve">April </w:t>
      </w:r>
      <w:r w:rsidRPr="008F6F1A">
        <w:rPr>
          <w:rStyle w:val="rynqvb"/>
          <w:rFonts w:ascii="Traditional Arabic" w:hAnsi="Traditional Arabic" w:cs="Traditional Arabic"/>
          <w:sz w:val="32"/>
          <w:szCs w:val="32"/>
          <w:lang w:val="en"/>
        </w:rPr>
        <w:lastRenderedPageBreak/>
        <w:t>1863, which came to address the problem of the lands of the indigenous tribes, so what is the background for its content and content?</w:t>
      </w:r>
      <w:r w:rsidRPr="008F6F1A">
        <w:rPr>
          <w:rStyle w:val="hwtze"/>
          <w:rFonts w:ascii="Traditional Arabic" w:hAnsi="Traditional Arabic" w:cs="Traditional Arabic"/>
          <w:sz w:val="32"/>
          <w:szCs w:val="32"/>
          <w:lang w:val="en"/>
        </w:rPr>
        <w:t xml:space="preserve"> </w:t>
      </w:r>
      <w:r w:rsidRPr="008F6F1A">
        <w:rPr>
          <w:rStyle w:val="rynqvb"/>
          <w:rFonts w:ascii="Traditional Arabic" w:hAnsi="Traditional Arabic" w:cs="Traditional Arabic"/>
          <w:sz w:val="32"/>
          <w:szCs w:val="32"/>
          <w:lang w:val="en"/>
        </w:rPr>
        <w:t>What are its effects and repercussions on the Muslim people in Algeria?</w:t>
      </w:r>
    </w:p>
    <w:p w:rsidR="008F6F1A" w:rsidRDefault="008F6F1A" w:rsidP="00B61A3B">
      <w:pPr>
        <w:jc w:val="left"/>
        <w:rPr>
          <w:rStyle w:val="rynqvb"/>
          <w:rFonts w:ascii="Traditional Arabic" w:hAnsi="Traditional Arabic" w:cs="Traditional Arabic"/>
          <w:sz w:val="32"/>
          <w:szCs w:val="32"/>
          <w:rtl/>
          <w:lang w:val="en"/>
        </w:rPr>
      </w:pPr>
      <w:r w:rsidRPr="008F6F1A">
        <w:rPr>
          <w:rStyle w:val="rynqvb"/>
          <w:rFonts w:ascii="Traditional Arabic" w:hAnsi="Traditional Arabic" w:cs="Traditional Arabic"/>
          <w:sz w:val="32"/>
          <w:szCs w:val="32"/>
          <w:lang w:val="en"/>
        </w:rPr>
        <w:t>Keywords: Law, Senatis Consult, land confiscation, indigenous tribes.</w:t>
      </w:r>
    </w:p>
    <w:p w:rsidR="00CB3158" w:rsidRPr="00EA6397" w:rsidRDefault="00CB3158" w:rsidP="00B61A3B">
      <w:pPr>
        <w:bidi/>
        <w:jc w:val="left"/>
        <w:rPr>
          <w:rStyle w:val="rynqvb"/>
          <w:rFonts w:ascii="Traditional Arabic" w:hAnsi="Traditional Arabic" w:cs="Traditional Arabic"/>
          <w:b/>
          <w:bCs/>
          <w:sz w:val="32"/>
          <w:szCs w:val="32"/>
          <w:rtl/>
          <w:lang w:bidi="ar-DZ"/>
        </w:rPr>
      </w:pPr>
      <w:r w:rsidRPr="00EA6397">
        <w:rPr>
          <w:rStyle w:val="rynqvb"/>
          <w:rFonts w:ascii="Traditional Arabic" w:hAnsi="Traditional Arabic" w:cs="Traditional Arabic"/>
          <w:b/>
          <w:bCs/>
          <w:sz w:val="32"/>
          <w:szCs w:val="32"/>
          <w:rtl/>
          <w:lang w:bidi="ar-DZ"/>
        </w:rPr>
        <w:t>المقدمة:</w:t>
      </w:r>
    </w:p>
    <w:p w:rsidR="00CB3158" w:rsidRPr="00543727" w:rsidRDefault="008B78BA" w:rsidP="00B61A3B">
      <w:pPr>
        <w:bidi/>
        <w:jc w:val="left"/>
        <w:rPr>
          <w:rFonts w:ascii="Traditional Arabic" w:eastAsia="MingLiU-ExtB" w:hAnsi="Traditional Arabic" w:cs="Traditional Arabic"/>
          <w:sz w:val="32"/>
          <w:szCs w:val="32"/>
          <w:rtl/>
          <w:lang w:val="en-US" w:bidi="ar-DZ"/>
        </w:rPr>
      </w:pPr>
      <w:r w:rsidRPr="00543727">
        <w:rPr>
          <w:rFonts w:ascii="Traditional Arabic" w:eastAsia="MingLiU-ExtB" w:hAnsi="Traditional Arabic" w:cs="Traditional Arabic"/>
          <w:sz w:val="32"/>
          <w:szCs w:val="32"/>
          <w:rtl/>
          <w:lang w:val="en-US" w:bidi="ar-DZ"/>
        </w:rPr>
        <w:t xml:space="preserve"> </w:t>
      </w:r>
      <w:r w:rsidR="00CB3158" w:rsidRPr="00543727">
        <w:rPr>
          <w:rFonts w:ascii="Traditional Arabic" w:eastAsia="MingLiU-ExtB" w:hAnsi="Traditional Arabic" w:cs="Traditional Arabic"/>
          <w:sz w:val="32"/>
          <w:szCs w:val="32"/>
          <w:rtl/>
          <w:lang w:val="en-US" w:bidi="ar-DZ"/>
        </w:rPr>
        <w:t xml:space="preserve">في معاهدة الاستسلام الموقعة في 05 جويلية 1830 من قبل لويس دي بورمونت، وزير الحرب في عهد شارل العاشر والداي حسين في الجزائر العاصمة، تعهدت فرنسا باحترام حرية ممارسة الدين الإسلامي مع الأخذ بعين الاعتبار الطابع الخاص لهذا الدين، والذي يعتبر أيضا قانونا مدنيا لهذه البلاد ، فاحترام الحرية الدينية للشعب الجزائري يعني ضمنيا أن فرنسا ستقبل بأن جزءا كبيرا من التشريع الساري قبل الغزو سيظل ساريا، حيث </w:t>
      </w:r>
      <w:r w:rsidRPr="00543727">
        <w:rPr>
          <w:rFonts w:ascii="Traditional Arabic" w:eastAsia="MingLiU-ExtB" w:hAnsi="Traditional Arabic" w:cs="Traditional Arabic"/>
          <w:sz w:val="32"/>
          <w:szCs w:val="32"/>
          <w:rtl/>
          <w:lang w:val="en-US" w:bidi="ar-DZ"/>
        </w:rPr>
        <w:t xml:space="preserve">تقضي أعراف القانون الدولي بأن </w:t>
      </w:r>
      <w:r w:rsidR="00CB3158" w:rsidRPr="00543727">
        <w:rPr>
          <w:rFonts w:ascii="Traditional Arabic" w:eastAsia="MingLiU-ExtB" w:hAnsi="Traditional Arabic" w:cs="Traditional Arabic"/>
          <w:sz w:val="32"/>
          <w:szCs w:val="32"/>
          <w:rtl/>
          <w:lang w:val="en-US" w:bidi="ar-DZ"/>
        </w:rPr>
        <w:t>مجرد الاحتلال العسكري لدولة ما لا يلغي جنسيتها أو قوانينها ويحدث هذا فقط عندما يتم ضم دولة محتلة بشكل نهائي من قبل قوة الاحتلال، لذلك سارعت فرنسا في الحاق الجزائر بممتلكاتها في شمال افريقيا</w:t>
      </w:r>
      <w:r w:rsidRPr="00543727">
        <w:rPr>
          <w:rFonts w:ascii="Traditional Arabic" w:eastAsia="MingLiU-ExtB" w:hAnsi="Traditional Arabic" w:cs="Traditional Arabic"/>
          <w:sz w:val="32"/>
          <w:szCs w:val="32"/>
          <w:rtl/>
          <w:lang w:val="en-US" w:bidi="ar-DZ"/>
        </w:rPr>
        <w:t xml:space="preserve"> والذي جاء فيه: </w:t>
      </w:r>
      <w:r w:rsidRPr="00543727">
        <w:rPr>
          <w:rFonts w:ascii="Traditional Arabic" w:eastAsia="MingLiU-ExtB" w:hAnsi="Traditional Arabic" w:cs="Traditional Arabic"/>
          <w:b/>
          <w:bCs/>
          <w:sz w:val="32"/>
          <w:szCs w:val="32"/>
          <w:rtl/>
          <w:lang w:val="en-US" w:bidi="ar-DZ"/>
        </w:rPr>
        <w:t>" تحكم الممتلكات الفرنسية في شمال افريقيا بأوامرنا إلى أن يصدر أمر آخر أو يؤمر بخلاف ذلك وأن الجزائر أصبحت ملحقة بفرنسا ومن ممتلكاتها في القارة الافريقية"</w:t>
      </w:r>
      <w:r w:rsidRPr="00543727">
        <w:rPr>
          <w:rFonts w:ascii="Traditional Arabic" w:eastAsia="MingLiU-ExtB" w:hAnsi="Traditional Arabic" w:cs="Traditional Arabic"/>
          <w:sz w:val="32"/>
          <w:szCs w:val="32"/>
          <w:rtl/>
          <w:lang w:val="en-US" w:bidi="ar-DZ"/>
        </w:rPr>
        <w:t xml:space="preserve"> لذلك اقتضى هذا الوضع الجديد إجراءات جديدة تمكن الاستعمار من الأرض </w:t>
      </w:r>
      <w:r w:rsidR="00922331" w:rsidRPr="00543727">
        <w:rPr>
          <w:rFonts w:ascii="Traditional Arabic" w:eastAsia="MingLiU-ExtB" w:hAnsi="Traditional Arabic" w:cs="Traditional Arabic"/>
          <w:sz w:val="32"/>
          <w:szCs w:val="32"/>
          <w:rtl/>
          <w:lang w:val="en-US" w:bidi="ar-DZ"/>
        </w:rPr>
        <w:t>وتضمن للاستعمار القدم الذي حققه في هذه البلاد، ولما كانت الإدارة الفرنسية على يقين تام بأن الاستيلاء على هذه الأراضي بشكل فوري متعذر ومستحيل بدأت تدريجيا في وضع تشريعات وقوانين لتسهيل الحصول عليها ومن أهمها قانون السيناتيس كونسيلت الصادر في 22 أفريل 1863، فما هو مضمون هذا القانون؟ وماهي ردود الفعل حوله؟ وماهي آثاره وانعكاساته على القبائل الأهلية الجزائرية؟</w:t>
      </w:r>
    </w:p>
    <w:p w:rsidR="00922331" w:rsidRPr="00543727" w:rsidRDefault="00922331" w:rsidP="00B61A3B">
      <w:pPr>
        <w:bidi/>
        <w:jc w:val="left"/>
        <w:rPr>
          <w:rFonts w:ascii="Traditional Arabic" w:eastAsia="MingLiU-ExtB" w:hAnsi="Traditional Arabic" w:cs="Traditional Arabic"/>
          <w:sz w:val="32"/>
          <w:szCs w:val="32"/>
          <w:rtl/>
          <w:lang w:val="en-US" w:bidi="ar-DZ"/>
        </w:rPr>
      </w:pPr>
    </w:p>
    <w:p w:rsidR="00D550BF" w:rsidRPr="00543727" w:rsidRDefault="00D550BF" w:rsidP="00B61A3B">
      <w:pPr>
        <w:bidi/>
        <w:jc w:val="left"/>
        <w:rPr>
          <w:rFonts w:ascii="Traditional Arabic" w:eastAsia="MingLiU-ExtB" w:hAnsi="Traditional Arabic" w:cs="Traditional Arabic"/>
          <w:sz w:val="32"/>
          <w:szCs w:val="32"/>
          <w:rtl/>
          <w:lang w:val="en-US" w:bidi="ar-DZ"/>
        </w:rPr>
      </w:pPr>
    </w:p>
    <w:p w:rsidR="00D550BF" w:rsidRPr="00543727" w:rsidRDefault="00D550BF" w:rsidP="00B61A3B">
      <w:pPr>
        <w:bidi/>
        <w:jc w:val="left"/>
        <w:rPr>
          <w:rFonts w:ascii="Traditional Arabic" w:eastAsia="MingLiU-ExtB" w:hAnsi="Traditional Arabic" w:cs="Traditional Arabic"/>
          <w:sz w:val="32"/>
          <w:szCs w:val="32"/>
          <w:rtl/>
          <w:lang w:val="en-US" w:bidi="ar-DZ"/>
        </w:rPr>
      </w:pPr>
    </w:p>
    <w:p w:rsidR="00D550BF" w:rsidRPr="00543727" w:rsidRDefault="00D550BF" w:rsidP="00B61A3B">
      <w:pPr>
        <w:bidi/>
        <w:jc w:val="left"/>
        <w:rPr>
          <w:rFonts w:ascii="Traditional Arabic" w:eastAsia="MingLiU-ExtB" w:hAnsi="Traditional Arabic" w:cs="Traditional Arabic"/>
          <w:sz w:val="32"/>
          <w:szCs w:val="32"/>
          <w:rtl/>
          <w:lang w:val="en-US" w:bidi="ar-DZ"/>
        </w:rPr>
      </w:pPr>
    </w:p>
    <w:p w:rsidR="00543727" w:rsidRDefault="00543727" w:rsidP="00B61A3B">
      <w:pPr>
        <w:bidi/>
        <w:jc w:val="left"/>
        <w:rPr>
          <w:rFonts w:ascii="Traditional Arabic" w:eastAsia="MingLiU-ExtB" w:hAnsi="Traditional Arabic" w:cs="Traditional Arabic"/>
          <w:sz w:val="32"/>
          <w:szCs w:val="32"/>
          <w:rtl/>
          <w:lang w:val="en-US" w:bidi="ar-DZ"/>
        </w:rPr>
      </w:pPr>
    </w:p>
    <w:p w:rsidR="00543727" w:rsidRDefault="00543727" w:rsidP="00B61A3B">
      <w:pPr>
        <w:bidi/>
        <w:jc w:val="left"/>
        <w:rPr>
          <w:rFonts w:ascii="Traditional Arabic" w:eastAsia="MingLiU-ExtB" w:hAnsi="Traditional Arabic" w:cs="Traditional Arabic"/>
          <w:sz w:val="32"/>
          <w:szCs w:val="32"/>
          <w:rtl/>
          <w:lang w:val="en-US" w:bidi="ar-DZ"/>
        </w:rPr>
      </w:pPr>
    </w:p>
    <w:p w:rsidR="00D550BF" w:rsidRPr="00EA6397" w:rsidRDefault="00D550BF" w:rsidP="00B61A3B">
      <w:pPr>
        <w:bidi/>
        <w:jc w:val="left"/>
        <w:rPr>
          <w:rFonts w:ascii="Traditional Arabic" w:eastAsia="MingLiU-ExtB" w:hAnsi="Traditional Arabic" w:cs="Traditional Arabic"/>
          <w:b/>
          <w:bCs/>
          <w:sz w:val="32"/>
          <w:szCs w:val="32"/>
          <w:rtl/>
          <w:lang w:val="en-US" w:bidi="ar-DZ"/>
        </w:rPr>
      </w:pPr>
      <w:r w:rsidRPr="00EA6397">
        <w:rPr>
          <w:rFonts w:ascii="Traditional Arabic" w:eastAsia="MingLiU-ExtB" w:hAnsi="Traditional Arabic" w:cs="Traditional Arabic"/>
          <w:b/>
          <w:bCs/>
          <w:sz w:val="32"/>
          <w:szCs w:val="32"/>
          <w:rtl/>
          <w:lang w:val="en-US" w:bidi="ar-DZ"/>
        </w:rPr>
        <w:lastRenderedPageBreak/>
        <w:t>سياسة نابليون الثالث في الجزائر:</w:t>
      </w:r>
    </w:p>
    <w:p w:rsidR="00D550BF" w:rsidRPr="00543727" w:rsidRDefault="00543727" w:rsidP="00B61A3B">
      <w:pPr>
        <w:bidi/>
        <w:jc w:val="left"/>
        <w:rPr>
          <w:rFonts w:ascii="Traditional Arabic" w:hAnsi="Traditional Arabic" w:cs="Traditional Arabic"/>
          <w:sz w:val="32"/>
          <w:szCs w:val="32"/>
          <w:rtl/>
          <w:lang w:bidi="ar-DZ"/>
        </w:rPr>
      </w:pPr>
      <w:r w:rsidRPr="00543727">
        <w:rPr>
          <w:rFonts w:ascii="Traditional Arabic" w:hAnsi="Traditional Arabic" w:cs="Traditional Arabic"/>
          <w:sz w:val="32"/>
          <w:szCs w:val="32"/>
          <w:rtl/>
          <w:lang w:bidi="ar-DZ"/>
        </w:rPr>
        <w:t xml:space="preserve">  </w:t>
      </w:r>
      <w:r w:rsidR="00D550BF" w:rsidRPr="00D550BF">
        <w:rPr>
          <w:rFonts w:ascii="Traditional Arabic" w:hAnsi="Traditional Arabic" w:cs="Traditional Arabic"/>
          <w:sz w:val="32"/>
          <w:szCs w:val="32"/>
          <w:rtl/>
          <w:lang w:bidi="ar-DZ"/>
        </w:rPr>
        <w:t xml:space="preserve">منذ أن تولى الامبراطور نابليون الثالث السلطة اهتم بمسألة الجزائر وكان على يقين تام بأن سياسة الملك لويس فليب </w:t>
      </w:r>
      <w:r w:rsidR="00D550BF" w:rsidRPr="00D550BF">
        <w:rPr>
          <w:rFonts w:ascii="Traditional Arabic" w:hAnsi="Traditional Arabic" w:cs="Traditional Arabic"/>
          <w:sz w:val="32"/>
          <w:szCs w:val="32"/>
          <w:lang w:bidi="ar-DZ"/>
        </w:rPr>
        <w:t>Louis Philippe</w:t>
      </w:r>
      <w:r w:rsidR="00D550BF" w:rsidRPr="00D550BF">
        <w:rPr>
          <w:rFonts w:ascii="Traditional Arabic" w:hAnsi="Traditional Arabic" w:cs="Traditional Arabic"/>
          <w:sz w:val="32"/>
          <w:szCs w:val="32"/>
          <w:rtl/>
          <w:lang w:bidi="ar-DZ"/>
        </w:rPr>
        <w:t xml:space="preserve"> كانت غير مناسبة لهذا البلد الذي يستحق الكثير، خاصة فيما يمكن توقعه منه بعيدا عن كونه مجرد مجال جغرافي مهم وواجهة بحرية على المتوسط، ففي عام 1848 كان هناك ما يقارب 120 ألف أوروبي نصفهم فرنسيين مقا</w:t>
      </w:r>
      <w:r w:rsidR="00D550BF" w:rsidRPr="00543727">
        <w:rPr>
          <w:rFonts w:ascii="Traditional Arabic" w:hAnsi="Traditional Arabic" w:cs="Traditional Arabic"/>
          <w:sz w:val="32"/>
          <w:szCs w:val="32"/>
          <w:rtl/>
          <w:lang w:bidi="ar-DZ"/>
        </w:rPr>
        <w:t>بل 2.5 مليون من السكان الأصليين، لذلك واجهته عديد التساؤلات حول ال</w:t>
      </w:r>
      <w:r w:rsidRPr="00543727">
        <w:rPr>
          <w:rFonts w:ascii="Traditional Arabic" w:hAnsi="Traditional Arabic" w:cs="Traditional Arabic"/>
          <w:sz w:val="32"/>
          <w:szCs w:val="32"/>
          <w:rtl/>
          <w:lang w:bidi="ar-DZ"/>
        </w:rPr>
        <w:t>سياسة الواجب اتباعها في الجزائر، والتي أرادها أن تكون مستوحاة من سياسة بونابرت في مصر بعيدا عن خوض صراع لا يرحم ضد العرب خاصة وأن هذه الفترة كانت تشهد تمردات الأهالي ضد الإدارة الفرنسية لذلك سيكون من الأفضل التوفيق بينهم بترك أراضيهم وعاداتهم وادارة أنفسهم تحت إدارة رصينة</w:t>
      </w:r>
      <w:r w:rsidRPr="00543727">
        <w:rPr>
          <w:rStyle w:val="Appelnotedebasdep"/>
          <w:rFonts w:ascii="Traditional Arabic" w:hAnsi="Traditional Arabic" w:cs="Traditional Arabic"/>
          <w:sz w:val="32"/>
          <w:szCs w:val="32"/>
          <w:rtl/>
          <w:lang w:bidi="ar-DZ"/>
        </w:rPr>
        <w:footnoteReference w:id="1"/>
      </w:r>
      <w:r w:rsidRPr="00543727">
        <w:rPr>
          <w:rFonts w:ascii="Traditional Arabic" w:hAnsi="Traditional Arabic" w:cs="Traditional Arabic"/>
          <w:sz w:val="32"/>
          <w:szCs w:val="32"/>
          <w:lang w:bidi="ar-DZ"/>
        </w:rPr>
        <w:t>.</w:t>
      </w:r>
    </w:p>
    <w:p w:rsidR="00FE0DA4" w:rsidRDefault="00543727" w:rsidP="00B61A3B">
      <w:pPr>
        <w:bidi/>
        <w:jc w:val="left"/>
        <w:rPr>
          <w:rFonts w:ascii="Traditional Arabic" w:hAnsi="Traditional Arabic" w:cs="Traditional Arabic"/>
          <w:sz w:val="32"/>
          <w:szCs w:val="32"/>
          <w:rtl/>
          <w:lang w:bidi="ar-DZ"/>
        </w:rPr>
      </w:pPr>
      <w:r w:rsidRPr="00543727">
        <w:rPr>
          <w:rFonts w:ascii="Traditional Arabic" w:hAnsi="Traditional Arabic" w:cs="Traditional Arabic"/>
          <w:sz w:val="32"/>
          <w:szCs w:val="32"/>
          <w:rtl/>
          <w:lang w:bidi="ar-DZ"/>
        </w:rPr>
        <w:t>وقد اعتبر الامبراطور السياسة التي تتبعها الإدارة العسكرية الفرنسية في مصادرة الأراضي تعد سببا أو حاجزا أمام تحديث الريف وتمكين الإدارة الفرنسية من فرض سلطتها فيه كما أنها تقلص من إمكانية ادماجه في المنظومة الإدارية الفرنسية، كما أن هذه السياسة أيضا من أبرز العوامل الدافعة بالقبائل الى التمرد على الإدارة الفرنسية وسلطتها</w:t>
      </w:r>
      <w:r w:rsidRPr="00543727">
        <w:rPr>
          <w:rStyle w:val="Appelnotedebasdep"/>
          <w:rFonts w:ascii="Traditional Arabic" w:hAnsi="Traditional Arabic" w:cs="Traditional Arabic"/>
          <w:sz w:val="32"/>
          <w:szCs w:val="32"/>
          <w:rtl/>
          <w:lang w:bidi="ar-DZ"/>
        </w:rPr>
        <w:footnoteReference w:id="2"/>
      </w:r>
      <w:r w:rsidR="00FE0DA4">
        <w:rPr>
          <w:rFonts w:ascii="Traditional Arabic" w:hAnsi="Traditional Arabic" w:cs="Traditional Arabic" w:hint="cs"/>
          <w:sz w:val="32"/>
          <w:szCs w:val="32"/>
          <w:rtl/>
          <w:lang w:bidi="ar-DZ"/>
        </w:rPr>
        <w:t xml:space="preserve">، لذلك صمم الامبراطور نابليون الثالث على انتهاج سياسة واضحة للجزائر </w:t>
      </w:r>
      <w:r w:rsidR="00FE0DA4" w:rsidRPr="00FE0DA4">
        <w:rPr>
          <w:rFonts w:ascii="Traditional Arabic" w:hAnsi="Traditional Arabic" w:cs="Traditional Arabic"/>
          <w:sz w:val="32"/>
          <w:szCs w:val="32"/>
          <w:rtl/>
          <w:lang w:bidi="ar-DZ"/>
        </w:rPr>
        <w:t>لوضع حد لثلاثين عاما من عدم اليقين الإداري ولإيجاد نظام قادر على ضمان التقارب وتحقيق الأهداف الأصلية التي هي الغزو، التوطن، والعوائد) لذلك كان من الضروري انتهاج أسلوب عقلاني يحمي السكان الأصليين ويحترم هويتهم وأصالة مؤسساتهم الاجتماعية دون التضحية بمصالح الاستعمار، وكان هدف نابليون الثالث هو جعل الجزائر قوة سياسية في خدمة السيادة الفرنسية وعنصر قوة للإمبراطورية</w:t>
      </w:r>
      <w:r w:rsidR="00FE0DA4">
        <w:rPr>
          <w:rStyle w:val="Appelnotedebasdep"/>
          <w:rFonts w:ascii="Traditional Arabic" w:hAnsi="Traditional Arabic" w:cs="Traditional Arabic"/>
          <w:sz w:val="32"/>
          <w:szCs w:val="32"/>
          <w:rtl/>
          <w:lang w:bidi="ar-DZ"/>
        </w:rPr>
        <w:footnoteReference w:id="3"/>
      </w:r>
      <w:r w:rsidR="00FE0DA4">
        <w:rPr>
          <w:rFonts w:ascii="Traditional Arabic" w:hAnsi="Traditional Arabic" w:cs="Traditional Arabic" w:hint="cs"/>
          <w:sz w:val="32"/>
          <w:szCs w:val="32"/>
          <w:rtl/>
          <w:lang w:bidi="ar-DZ"/>
        </w:rPr>
        <w:t>.</w:t>
      </w:r>
    </w:p>
    <w:p w:rsidR="00FE0DA4" w:rsidRPr="00FE0DA4" w:rsidRDefault="00FE0DA4" w:rsidP="00B61A3B">
      <w:pPr>
        <w:tabs>
          <w:tab w:val="left" w:pos="7586"/>
        </w:tabs>
        <w:bidi/>
        <w:jc w:val="left"/>
        <w:rPr>
          <w:rFonts w:ascii="Traditional Arabic" w:eastAsia="MingLiU-ExtB" w:hAnsi="Traditional Arabic" w:cs="Traditional Arabic"/>
          <w:sz w:val="32"/>
          <w:szCs w:val="32"/>
          <w:lang w:bidi="ar-DZ"/>
        </w:rPr>
      </w:pPr>
      <w:r w:rsidRPr="00FE0DA4">
        <w:rPr>
          <w:rFonts w:ascii="Traditional Arabic" w:eastAsia="MingLiU-ExtB" w:hAnsi="Traditional Arabic" w:cs="Traditional Arabic"/>
          <w:sz w:val="32"/>
          <w:szCs w:val="32"/>
          <w:rtl/>
          <w:lang w:bidi="ar-DZ"/>
        </w:rPr>
        <w:t xml:space="preserve"> لذلك كان الإمبراطور يعتبر أن خيار الاستعمار الاستيطاني كان خطأ، فهو يرى أن فرنسا لا يمكنها أن تنجز مهمتها الحضارية الا من خلال احترام المجتمع الأصلي</w:t>
      </w:r>
      <w:r w:rsidRPr="00FE0DA4">
        <w:rPr>
          <w:rFonts w:ascii="Traditional Arabic" w:eastAsia="MingLiU-ExtB" w:hAnsi="Traditional Arabic" w:cs="Traditional Arabic"/>
          <w:sz w:val="32"/>
          <w:szCs w:val="32"/>
          <w:vertAlign w:val="superscript"/>
          <w:rtl/>
          <w:lang w:bidi="ar-DZ"/>
        </w:rPr>
        <w:footnoteReference w:id="4"/>
      </w:r>
      <w:r w:rsidRPr="00FE0DA4">
        <w:rPr>
          <w:rFonts w:ascii="Traditional Arabic" w:eastAsia="MingLiU-ExtB" w:hAnsi="Traditional Arabic" w:cs="Traditional Arabic"/>
          <w:sz w:val="32"/>
          <w:szCs w:val="32"/>
          <w:lang w:bidi="ar-DZ"/>
        </w:rPr>
        <w:t>.</w:t>
      </w:r>
    </w:p>
    <w:p w:rsidR="00FE0DA4" w:rsidRPr="00FE0DA4" w:rsidRDefault="00FE0DA4" w:rsidP="00B61A3B">
      <w:pPr>
        <w:tabs>
          <w:tab w:val="left" w:pos="7586"/>
        </w:tabs>
        <w:bidi/>
        <w:jc w:val="left"/>
        <w:rPr>
          <w:rFonts w:ascii="Traditional Arabic" w:eastAsia="MingLiU-ExtB" w:hAnsi="Traditional Arabic" w:cs="Traditional Arabic"/>
          <w:sz w:val="32"/>
          <w:szCs w:val="32"/>
          <w:rtl/>
          <w:lang w:bidi="ar-DZ"/>
        </w:rPr>
      </w:pPr>
      <w:r w:rsidRPr="00FE0DA4">
        <w:rPr>
          <w:rFonts w:ascii="Traditional Arabic" w:eastAsia="MingLiU-ExtB" w:hAnsi="Traditional Arabic" w:cs="Traditional Arabic"/>
          <w:sz w:val="32"/>
          <w:szCs w:val="32"/>
          <w:rtl/>
          <w:lang w:bidi="ar-DZ"/>
        </w:rPr>
        <w:lastRenderedPageBreak/>
        <w:t>وهو ما ذكره في رسالته المؤرخة في 06 فيفري 1863 الى الحاكم العام بليسييه</w:t>
      </w:r>
      <w:r>
        <w:rPr>
          <w:rFonts w:ascii="Traditional Arabic" w:eastAsia="MingLiU-ExtB" w:hAnsi="Traditional Arabic" w:cs="Traditional Arabic"/>
          <w:sz w:val="32"/>
          <w:szCs w:val="32"/>
          <w:lang w:bidi="ar-DZ"/>
        </w:rPr>
        <w:t xml:space="preserve"> Pléssie</w:t>
      </w:r>
      <w:r>
        <w:rPr>
          <w:rFonts w:ascii="Traditional Arabic" w:eastAsia="MingLiU-ExtB" w:hAnsi="Traditional Arabic" w:cs="Traditional Arabic" w:hint="cs"/>
          <w:sz w:val="32"/>
          <w:szCs w:val="32"/>
          <w:rtl/>
          <w:lang w:bidi="ar-DZ"/>
        </w:rPr>
        <w:t xml:space="preserve"> </w:t>
      </w:r>
      <w:r w:rsidRPr="00FE0DA4">
        <w:rPr>
          <w:rFonts w:ascii="Traditional Arabic" w:eastAsia="MingLiU-ExtB" w:hAnsi="Traditional Arabic" w:cs="Traditional Arabic"/>
          <w:sz w:val="32"/>
          <w:szCs w:val="32"/>
          <w:rtl/>
          <w:lang w:bidi="ar-DZ"/>
        </w:rPr>
        <w:t>مما جاء فيها ما يلي:</w:t>
      </w:r>
    </w:p>
    <w:p w:rsidR="00FE0DA4" w:rsidRDefault="00FE0DA4" w:rsidP="00B61A3B">
      <w:pPr>
        <w:bidi/>
        <w:jc w:val="left"/>
        <w:rPr>
          <w:rFonts w:ascii="Traditional Arabic" w:eastAsia="MingLiU-ExtB" w:hAnsi="Traditional Arabic" w:cs="Traditional Arabic"/>
          <w:sz w:val="32"/>
          <w:szCs w:val="32"/>
          <w:rtl/>
          <w:lang w:bidi="ar-DZ"/>
        </w:rPr>
      </w:pPr>
      <w:r w:rsidRPr="00FE0DA4">
        <w:rPr>
          <w:rFonts w:ascii="Traditional Arabic" w:eastAsia="MingLiU-ExtB" w:hAnsi="Traditional Arabic" w:cs="Traditional Arabic"/>
          <w:sz w:val="32"/>
          <w:szCs w:val="32"/>
          <w:rtl/>
          <w:lang w:bidi="ar-DZ"/>
        </w:rPr>
        <w:t xml:space="preserve">" </w:t>
      </w:r>
      <w:r w:rsidRPr="00FE0DA4">
        <w:rPr>
          <w:rFonts w:ascii="Traditional Arabic" w:eastAsia="MingLiU-ExtB" w:hAnsi="Traditional Arabic" w:cs="Traditional Arabic"/>
          <w:b/>
          <w:bCs/>
          <w:sz w:val="32"/>
          <w:szCs w:val="32"/>
          <w:rtl/>
          <w:lang w:bidi="ar-DZ"/>
        </w:rPr>
        <w:t>قبل كل شيء فإن الأمر متعلق بضرورة التوقف عن اتباع سياسة معادية للعرب ومواتية للمستوطنين</w:t>
      </w:r>
      <w:r>
        <w:rPr>
          <w:rFonts w:ascii="Traditional Arabic" w:eastAsia="MingLiU-ExtB" w:hAnsi="Traditional Arabic" w:cs="Traditional Arabic" w:hint="cs"/>
          <w:b/>
          <w:bCs/>
          <w:sz w:val="32"/>
          <w:szCs w:val="32"/>
          <w:rtl/>
          <w:lang w:bidi="ar-DZ"/>
        </w:rPr>
        <w:t>"</w:t>
      </w:r>
      <w:r w:rsidRPr="00FE0DA4">
        <w:rPr>
          <w:rFonts w:ascii="Traditional Arabic" w:eastAsia="MingLiU-ExtB" w:hAnsi="Traditional Arabic" w:cs="Traditional Arabic"/>
          <w:b/>
          <w:bCs/>
          <w:sz w:val="32"/>
          <w:szCs w:val="32"/>
          <w:rtl/>
          <w:lang w:bidi="ar-DZ"/>
        </w:rPr>
        <w:t xml:space="preserve"> </w:t>
      </w:r>
      <w:r w:rsidRPr="00FE0DA4">
        <w:rPr>
          <w:rFonts w:ascii="Traditional Arabic" w:eastAsia="MingLiU-ExtB" w:hAnsi="Traditional Arabic" w:cs="Traditional Arabic"/>
          <w:sz w:val="32"/>
          <w:szCs w:val="32"/>
          <w:rtl/>
          <w:lang w:bidi="ar-DZ"/>
        </w:rPr>
        <w:t>وقد نشر الامبراطور النص الذي سيكون له تأثير كبير والذي جاء فيه</w:t>
      </w:r>
      <w:r w:rsidRPr="00FE0DA4">
        <w:rPr>
          <w:rFonts w:ascii="Traditional Arabic" w:eastAsia="MingLiU-ExtB" w:hAnsi="Traditional Arabic" w:cs="Traditional Arabic"/>
          <w:b/>
          <w:bCs/>
          <w:sz w:val="32"/>
          <w:szCs w:val="32"/>
          <w:rtl/>
          <w:lang w:bidi="ar-DZ"/>
        </w:rPr>
        <w:t>: "لم نأت لظلمهم يقصد العرب ولا لنسلبهم، ولكن لجلب فوائد الحضارة لهم فدعونا نحاول بكل الوسائل للتوفيق فيه...الجزائر ليست مستعمرة لكنها مملكة عربية يتمتع السكان الأصليون بحق متساو في حمايتي مثلهم مثل المستوطنين فأنا امبراطور العرب و امبراطور الفرنسيين"</w:t>
      </w:r>
      <w:r w:rsidRPr="00FE0DA4">
        <w:rPr>
          <w:rFonts w:ascii="Traditional Arabic" w:eastAsia="MingLiU-ExtB" w:hAnsi="Traditional Arabic" w:cs="Traditional Arabic"/>
          <w:sz w:val="32"/>
          <w:szCs w:val="32"/>
          <w:vertAlign w:val="superscript"/>
          <w:rtl/>
          <w:lang w:bidi="ar-DZ"/>
        </w:rPr>
        <w:footnoteReference w:id="5"/>
      </w:r>
      <w:r w:rsidRPr="00FE0DA4">
        <w:rPr>
          <w:rFonts w:ascii="Traditional Arabic" w:eastAsia="MingLiU-ExtB" w:hAnsi="Traditional Arabic" w:cs="Traditional Arabic"/>
          <w:sz w:val="32"/>
          <w:szCs w:val="32"/>
          <w:lang w:bidi="ar-DZ"/>
        </w:rPr>
        <w:t>.</w:t>
      </w:r>
    </w:p>
    <w:p w:rsidR="009120E8" w:rsidRPr="009120E8" w:rsidRDefault="009120E8" w:rsidP="00B61A3B">
      <w:pPr>
        <w:tabs>
          <w:tab w:val="left" w:pos="7586"/>
        </w:tabs>
        <w:bidi/>
        <w:jc w:val="left"/>
        <w:rPr>
          <w:rFonts w:ascii="Traditional Arabic" w:eastAsia="MingLiU-ExtB" w:hAnsi="Traditional Arabic" w:cs="Traditional Arabic"/>
          <w:sz w:val="32"/>
          <w:szCs w:val="32"/>
          <w:lang w:bidi="ar-DZ"/>
        </w:rPr>
      </w:pPr>
      <w:r w:rsidRPr="009120E8">
        <w:rPr>
          <w:rFonts w:ascii="Traditional Arabic" w:eastAsia="MingLiU-ExtB" w:hAnsi="Traditional Arabic" w:cs="Traditional Arabic"/>
          <w:sz w:val="32"/>
          <w:szCs w:val="32"/>
          <w:rtl/>
          <w:lang w:bidi="ar-DZ"/>
        </w:rPr>
        <w:t xml:space="preserve">لم يتوقف الامبراطور نابليون الثالث رغم المشاكل التي تعاني منها الإمبراطورية عن التفكير في مستقبل الجزائر منذ وقت مبكر، فقد أعلن سنة 1852 نواياه عن مستقبل هذه المستعمرة بكلمات موجهة الى غرفة التجارة في بوردو </w:t>
      </w:r>
      <w:r w:rsidRPr="009120E8">
        <w:rPr>
          <w:rFonts w:ascii="Traditional Arabic" w:eastAsia="MingLiU-ExtB" w:hAnsi="Traditional Arabic" w:cs="Traditional Arabic"/>
          <w:sz w:val="32"/>
          <w:szCs w:val="32"/>
          <w:lang w:bidi="ar-DZ"/>
        </w:rPr>
        <w:t>Bordeaux</w:t>
      </w:r>
      <w:r w:rsidRPr="009120E8">
        <w:rPr>
          <w:rFonts w:ascii="Traditional Arabic" w:eastAsia="MingLiU-ExtB" w:hAnsi="Traditional Arabic" w:cs="Traditional Arabic"/>
          <w:sz w:val="32"/>
          <w:szCs w:val="32"/>
          <w:rtl/>
          <w:lang w:bidi="ar-DZ"/>
        </w:rPr>
        <w:t xml:space="preserve"> مما جاء فيها: </w:t>
      </w:r>
      <w:r w:rsidRPr="009120E8">
        <w:rPr>
          <w:rFonts w:ascii="Traditional Arabic" w:eastAsia="MingLiU-ExtB" w:hAnsi="Traditional Arabic" w:cs="Traditional Arabic"/>
          <w:b/>
          <w:bCs/>
          <w:sz w:val="32"/>
          <w:szCs w:val="32"/>
          <w:rtl/>
          <w:lang w:bidi="ar-DZ"/>
        </w:rPr>
        <w:t>" لدينا مقابل مرسيليا مملكة شاسعة لاستيعابها في فرنسا" ومنذ ذلك الوقت منح الامبراطور رعاية كبيرة لمسألة الجزائر</w:t>
      </w:r>
      <w:r>
        <w:rPr>
          <w:rFonts w:ascii="Traditional Arabic" w:eastAsia="MingLiU-ExtB" w:hAnsi="Traditional Arabic" w:cs="Traditional Arabic" w:hint="cs"/>
          <w:b/>
          <w:bCs/>
          <w:sz w:val="32"/>
          <w:szCs w:val="32"/>
          <w:rtl/>
          <w:lang w:bidi="ar-DZ"/>
        </w:rPr>
        <w:t>"</w:t>
      </w:r>
      <w:r w:rsidRPr="009120E8">
        <w:rPr>
          <w:rFonts w:ascii="Traditional Arabic" w:eastAsia="MingLiU-ExtB" w:hAnsi="Traditional Arabic" w:cs="Traditional Arabic"/>
          <w:sz w:val="32"/>
          <w:szCs w:val="32"/>
          <w:vertAlign w:val="superscript"/>
          <w:rtl/>
          <w:lang w:bidi="ar-DZ"/>
        </w:rPr>
        <w:footnoteReference w:id="6"/>
      </w:r>
      <w:r w:rsidRPr="009120E8">
        <w:rPr>
          <w:rFonts w:ascii="Traditional Arabic" w:eastAsia="MingLiU-ExtB" w:hAnsi="Traditional Arabic" w:cs="Traditional Arabic"/>
          <w:sz w:val="32"/>
          <w:szCs w:val="32"/>
          <w:lang w:bidi="ar-DZ"/>
        </w:rPr>
        <w:t>.</w:t>
      </w:r>
    </w:p>
    <w:p w:rsidR="009120E8" w:rsidRPr="009120E8" w:rsidRDefault="009120E8" w:rsidP="00B61A3B">
      <w:pPr>
        <w:tabs>
          <w:tab w:val="left" w:pos="7586"/>
        </w:tabs>
        <w:bidi/>
        <w:jc w:val="left"/>
        <w:rPr>
          <w:rFonts w:ascii="Traditional Arabic" w:eastAsia="MingLiU-ExtB" w:hAnsi="Traditional Arabic" w:cs="Traditional Arabic"/>
          <w:sz w:val="32"/>
          <w:szCs w:val="32"/>
          <w:lang w:bidi="ar-DZ"/>
        </w:rPr>
      </w:pPr>
      <w:r w:rsidRPr="009120E8">
        <w:rPr>
          <w:rFonts w:ascii="Traditional Arabic" w:eastAsia="MingLiU-ExtB" w:hAnsi="Traditional Arabic" w:cs="Traditional Arabic"/>
          <w:sz w:val="32"/>
          <w:szCs w:val="32"/>
          <w:rtl/>
          <w:lang w:bidi="ar-DZ"/>
        </w:rPr>
        <w:t>ولتحقيق هذه الرغبة في الاستيعاب التي أشار اليها الامبراطور كان لابد من إزالة بعض العوائق التي كانت موجودة، لذلك أصدر الامبراطور العديد من المراسيم لتحقيق هذا الهدف من بينها مرسوم 21 فيفري 1850 والذي وضع حدا لحالة الاحراج والاضطراب التي طالت الممتلكات، هدفه التقليل الى النصف في جميع الإيجارات الفرنسية المقامة في الجزائر</w:t>
      </w:r>
      <w:r w:rsidRPr="009120E8">
        <w:rPr>
          <w:rFonts w:ascii="Traditional Arabic" w:eastAsia="MingLiU-ExtB" w:hAnsi="Traditional Arabic" w:cs="Traditional Arabic"/>
          <w:sz w:val="32"/>
          <w:szCs w:val="32"/>
          <w:vertAlign w:val="superscript"/>
          <w:rtl/>
          <w:lang w:bidi="ar-DZ"/>
        </w:rPr>
        <w:footnoteReference w:id="7"/>
      </w:r>
      <w:r w:rsidRPr="009120E8">
        <w:rPr>
          <w:rFonts w:ascii="Traditional Arabic" w:eastAsia="MingLiU-ExtB" w:hAnsi="Traditional Arabic" w:cs="Traditional Arabic"/>
          <w:sz w:val="32"/>
          <w:szCs w:val="32"/>
          <w:lang w:bidi="ar-DZ"/>
        </w:rPr>
        <w:t>.</w:t>
      </w:r>
    </w:p>
    <w:p w:rsidR="009120E8" w:rsidRPr="009120E8" w:rsidRDefault="009120E8" w:rsidP="00B61A3B">
      <w:pPr>
        <w:tabs>
          <w:tab w:val="left" w:pos="7586"/>
        </w:tabs>
        <w:bidi/>
        <w:jc w:val="left"/>
        <w:rPr>
          <w:rFonts w:ascii="Traditional Arabic" w:eastAsia="MingLiU-ExtB" w:hAnsi="Traditional Arabic" w:cs="Traditional Arabic"/>
          <w:sz w:val="32"/>
          <w:szCs w:val="32"/>
          <w:rtl/>
          <w:lang w:bidi="ar-DZ"/>
        </w:rPr>
      </w:pPr>
      <w:r w:rsidRPr="009120E8">
        <w:rPr>
          <w:rFonts w:ascii="Traditional Arabic" w:eastAsia="MingLiU-ExtB" w:hAnsi="Traditional Arabic" w:cs="Traditional Arabic"/>
          <w:sz w:val="32"/>
          <w:szCs w:val="32"/>
          <w:rtl/>
          <w:lang w:bidi="ar-DZ"/>
        </w:rPr>
        <w:t>لجنة 02 أفريل 1850: والتي حددت اختصاصاتها في ابداء الرأي في جميع شؤون الجزائر</w:t>
      </w:r>
    </w:p>
    <w:p w:rsidR="009120E8" w:rsidRPr="009120E8" w:rsidRDefault="009120E8" w:rsidP="00B61A3B">
      <w:pPr>
        <w:tabs>
          <w:tab w:val="left" w:pos="7586"/>
        </w:tabs>
        <w:bidi/>
        <w:ind w:left="660"/>
        <w:contextualSpacing/>
        <w:jc w:val="left"/>
        <w:rPr>
          <w:rFonts w:ascii="Traditional Arabic" w:eastAsia="MingLiU-ExtB" w:hAnsi="Traditional Arabic" w:cs="Traditional Arabic"/>
          <w:sz w:val="32"/>
          <w:szCs w:val="32"/>
          <w:lang w:bidi="ar-DZ"/>
        </w:rPr>
      </w:pPr>
      <w:r w:rsidRPr="009120E8">
        <w:rPr>
          <w:rFonts w:ascii="Traditional Arabic" w:eastAsia="MingLiU-ExtB" w:hAnsi="Traditional Arabic" w:cs="Traditional Arabic"/>
          <w:sz w:val="32"/>
          <w:szCs w:val="32"/>
          <w:rtl/>
          <w:lang w:bidi="ar-DZ"/>
        </w:rPr>
        <w:t>السياسة الاستعمارية.</w:t>
      </w:r>
    </w:p>
    <w:p w:rsidR="009120E8" w:rsidRPr="009120E8" w:rsidRDefault="009120E8" w:rsidP="00B61A3B">
      <w:pPr>
        <w:tabs>
          <w:tab w:val="left" w:pos="7586"/>
        </w:tabs>
        <w:bidi/>
        <w:ind w:left="660"/>
        <w:contextualSpacing/>
        <w:jc w:val="left"/>
        <w:rPr>
          <w:rFonts w:ascii="Traditional Arabic" w:eastAsia="MingLiU-ExtB" w:hAnsi="Traditional Arabic" w:cs="Traditional Arabic"/>
          <w:sz w:val="32"/>
          <w:szCs w:val="32"/>
          <w:lang w:bidi="ar-DZ"/>
        </w:rPr>
      </w:pPr>
      <w:r w:rsidRPr="009120E8">
        <w:rPr>
          <w:rFonts w:ascii="Traditional Arabic" w:eastAsia="MingLiU-ExtB" w:hAnsi="Traditional Arabic" w:cs="Traditional Arabic"/>
          <w:sz w:val="32"/>
          <w:szCs w:val="32"/>
          <w:rtl/>
          <w:lang w:bidi="ar-DZ"/>
        </w:rPr>
        <w:t>الامتيازات الفرنسية في الجزائر.</w:t>
      </w:r>
    </w:p>
    <w:p w:rsidR="009120E8" w:rsidRPr="009120E8" w:rsidRDefault="009120E8" w:rsidP="00B61A3B">
      <w:pPr>
        <w:tabs>
          <w:tab w:val="left" w:pos="7586"/>
        </w:tabs>
        <w:bidi/>
        <w:ind w:left="660"/>
        <w:contextualSpacing/>
        <w:jc w:val="left"/>
        <w:rPr>
          <w:rFonts w:ascii="Traditional Arabic" w:eastAsia="MingLiU-ExtB" w:hAnsi="Traditional Arabic" w:cs="Traditional Arabic"/>
          <w:sz w:val="32"/>
          <w:szCs w:val="32"/>
          <w:lang w:bidi="ar-DZ"/>
        </w:rPr>
      </w:pPr>
      <w:r w:rsidRPr="009120E8">
        <w:rPr>
          <w:rFonts w:ascii="Traditional Arabic" w:eastAsia="MingLiU-ExtB" w:hAnsi="Traditional Arabic" w:cs="Traditional Arabic"/>
          <w:sz w:val="32"/>
          <w:szCs w:val="32"/>
          <w:rtl/>
          <w:lang w:bidi="ar-DZ"/>
        </w:rPr>
        <w:t>التجارة.</w:t>
      </w:r>
    </w:p>
    <w:p w:rsidR="009120E8" w:rsidRPr="009120E8" w:rsidRDefault="009120E8" w:rsidP="00B61A3B">
      <w:pPr>
        <w:tabs>
          <w:tab w:val="left" w:pos="7586"/>
        </w:tabs>
        <w:bidi/>
        <w:ind w:left="660"/>
        <w:contextualSpacing/>
        <w:jc w:val="left"/>
        <w:rPr>
          <w:rFonts w:ascii="Traditional Arabic" w:eastAsia="MingLiU-ExtB" w:hAnsi="Traditional Arabic" w:cs="Traditional Arabic"/>
          <w:sz w:val="32"/>
          <w:szCs w:val="32"/>
          <w:lang w:bidi="ar-DZ"/>
        </w:rPr>
      </w:pPr>
      <w:r w:rsidRPr="009120E8">
        <w:rPr>
          <w:rFonts w:ascii="Traditional Arabic" w:eastAsia="MingLiU-ExtB" w:hAnsi="Traditional Arabic" w:cs="Traditional Arabic"/>
          <w:sz w:val="32"/>
          <w:szCs w:val="32"/>
          <w:rtl/>
          <w:lang w:bidi="ar-DZ"/>
        </w:rPr>
        <w:t>الصناعة والملاحة وما الى ذلك.</w:t>
      </w:r>
    </w:p>
    <w:p w:rsidR="009120E8" w:rsidRPr="009120E8" w:rsidRDefault="009120E8" w:rsidP="00B61A3B">
      <w:pPr>
        <w:tabs>
          <w:tab w:val="left" w:pos="7586"/>
        </w:tabs>
        <w:bidi/>
        <w:jc w:val="left"/>
        <w:rPr>
          <w:rFonts w:ascii="Traditional Arabic" w:eastAsia="MingLiU-ExtB" w:hAnsi="Traditional Arabic" w:cs="Traditional Arabic"/>
          <w:sz w:val="32"/>
          <w:szCs w:val="32"/>
          <w:rtl/>
          <w:lang w:bidi="ar-DZ"/>
        </w:rPr>
      </w:pPr>
      <w:r w:rsidRPr="009120E8">
        <w:rPr>
          <w:rFonts w:ascii="Traditional Arabic" w:eastAsia="MingLiU-ExtB" w:hAnsi="Traditional Arabic" w:cs="Traditional Arabic"/>
          <w:sz w:val="32"/>
          <w:szCs w:val="32"/>
          <w:rtl/>
          <w:lang w:bidi="ar-DZ"/>
        </w:rPr>
        <w:t>وفي 14 جويلية 1850 تم تفويض الحاكم العام في الجزائر بإنشاء مدارس عربية فرنسية في المدن الرئيسية.</w:t>
      </w:r>
    </w:p>
    <w:p w:rsidR="009120E8" w:rsidRPr="009120E8" w:rsidRDefault="009120E8" w:rsidP="00B61A3B">
      <w:pPr>
        <w:tabs>
          <w:tab w:val="left" w:pos="7586"/>
        </w:tabs>
        <w:bidi/>
        <w:jc w:val="left"/>
        <w:rPr>
          <w:rFonts w:ascii="Traditional Arabic" w:eastAsia="MingLiU-ExtB" w:hAnsi="Traditional Arabic" w:cs="Traditional Arabic"/>
          <w:sz w:val="32"/>
          <w:szCs w:val="32"/>
          <w:lang w:bidi="ar-DZ"/>
        </w:rPr>
      </w:pPr>
      <w:r w:rsidRPr="009120E8">
        <w:rPr>
          <w:rFonts w:ascii="Traditional Arabic" w:eastAsia="MingLiU-ExtB" w:hAnsi="Traditional Arabic" w:cs="Traditional Arabic"/>
          <w:sz w:val="32"/>
          <w:szCs w:val="32"/>
          <w:rtl/>
          <w:lang w:bidi="ar-DZ"/>
        </w:rPr>
        <w:lastRenderedPageBreak/>
        <w:t>في 06 أكتوبر 1850 صدر قرار بتنظيم الغرف الاستشارية للزراعة، هذه المؤسسات المعترف بها في فرنسا على أنها ضرورية للغاية كانت أكثر أهمية في الجزائر على هذه التربة الغنية جدا والمتنوعة، حيث تهيمن المصلحة الزراعية حتى الآن على باقي القطاعات حيث يرتبط الجزائريين ارتباطا وثيقا بالأرض</w:t>
      </w:r>
      <w:r w:rsidRPr="009120E8">
        <w:rPr>
          <w:rFonts w:ascii="Traditional Arabic" w:eastAsia="MingLiU-ExtB" w:hAnsi="Traditional Arabic" w:cs="Traditional Arabic"/>
          <w:sz w:val="32"/>
          <w:szCs w:val="32"/>
          <w:vertAlign w:val="superscript"/>
          <w:rtl/>
          <w:lang w:bidi="ar-DZ"/>
        </w:rPr>
        <w:footnoteReference w:id="8"/>
      </w:r>
      <w:r w:rsidRPr="009120E8">
        <w:rPr>
          <w:rFonts w:ascii="Traditional Arabic" w:eastAsia="MingLiU-ExtB" w:hAnsi="Traditional Arabic" w:cs="Traditional Arabic"/>
          <w:sz w:val="32"/>
          <w:szCs w:val="32"/>
          <w:lang w:bidi="ar-DZ"/>
        </w:rPr>
        <w:t>.</w:t>
      </w:r>
    </w:p>
    <w:p w:rsidR="009120E8" w:rsidRDefault="009120E8" w:rsidP="00B61A3B">
      <w:pPr>
        <w:tabs>
          <w:tab w:val="left" w:pos="7586"/>
        </w:tabs>
        <w:bidi/>
        <w:jc w:val="left"/>
        <w:rPr>
          <w:rFonts w:ascii="Traditional Arabic" w:eastAsia="MingLiU-ExtB" w:hAnsi="Traditional Arabic" w:cs="Traditional Arabic"/>
          <w:sz w:val="32"/>
          <w:szCs w:val="32"/>
          <w:rtl/>
          <w:lang w:bidi="ar-DZ"/>
        </w:rPr>
      </w:pPr>
      <w:r>
        <w:rPr>
          <w:rFonts w:ascii="Traditional Arabic" w:eastAsia="MingLiU-ExtB" w:hAnsi="Traditional Arabic" w:cs="Traditional Arabic" w:hint="cs"/>
          <w:sz w:val="32"/>
          <w:szCs w:val="32"/>
          <w:rtl/>
          <w:lang w:bidi="ar-DZ"/>
        </w:rPr>
        <w:t xml:space="preserve">  </w:t>
      </w:r>
      <w:r w:rsidRPr="009120E8">
        <w:rPr>
          <w:rFonts w:ascii="Traditional Arabic" w:eastAsia="MingLiU-ExtB" w:hAnsi="Traditional Arabic" w:cs="Traditional Arabic"/>
          <w:sz w:val="32"/>
          <w:szCs w:val="32"/>
          <w:rtl/>
          <w:lang w:bidi="ar-DZ"/>
        </w:rPr>
        <w:t xml:space="preserve">وقد واصل الامبراطور اهتمامه بالجزائر التي لم يعتبرها مستعمرة وإنما مملكة عربية يحظى فيها الجميع بحمايته دون تمييز بين الأهلي والأوربي وقد ترجم هذا الاهتمام في الزيارة التي قام بها في 17 سبتمبر 1860 حيث توجه الى المأدبة التي أقيمت له بمدينة الجزائر التي حضرها نخبة من رجال الدين والعسكريين وبعض السكان الأوروبيين وبعض رجال الإدارة الفرنسيين حيث ألقى الامبراطور خطابه والذي جاء فيه: </w:t>
      </w:r>
      <w:r w:rsidRPr="009120E8">
        <w:rPr>
          <w:rFonts w:ascii="Traditional Arabic" w:eastAsia="MingLiU-ExtB" w:hAnsi="Traditional Arabic" w:cs="Traditional Arabic"/>
          <w:b/>
          <w:bCs/>
          <w:sz w:val="32"/>
          <w:szCs w:val="32"/>
          <w:rtl/>
          <w:lang w:bidi="ar-DZ"/>
        </w:rPr>
        <w:t>"يتجه فكري في اللحظات الأولى التي تطأ فيها أقدامي هذا التراب الإفريقي نحو شكر الجيش لشجاعته وبسالته في فتح هذه الأقاليم الشاسعة ...واجبنا هنا: تحقيق سعادة 3ملايين عربي ...فإلاه الجنود لا يرسلهم كافة للحرب أو العقاب أحيانا يرسلهم للفداء وهنا دعتنا العناية الإلهية  الى هذه الأرض لجلب منافع الحضارة فما هي الحضارة؟ الحضارة أن نوفر الرفاه...ونرتقي بالعربي الى كرامة الرجال الأحرار، بنشر أسباب الحضارة وتعاليمها مع احترام عاداتهم وتقاليدهم وتحسين أوضاع حياتهم وذلك بإخراج الكنوز المغمورة التي جعلتها العناية الإلهية في هذه الأرض وأهملتها الحكومة السابقة ولم تنفع بها أهل البلد، هذه هي مهمتنا ولن نفشل فيها أمام هؤلاء المستعمرين الشجعان الذين جاءوا ووضعوا العلم الفرنسي على هذه الأرض، أريد أن أوجه لهم هذا الكلام ان حماية فرنسا لهم لن يفتقدوها هنا وسنكون الى جانبهم وأن المؤسسات التي رسخناها هنا ستكون الى صفهم، وأن السكان الجدد سيبقون على هذه الأرض التي ستبقى فرنسية الى الأبد</w:t>
      </w:r>
      <w:r>
        <w:rPr>
          <w:rFonts w:ascii="Traditional Arabic" w:eastAsia="MingLiU-ExtB" w:hAnsi="Traditional Arabic" w:cs="Traditional Arabic" w:hint="cs"/>
          <w:b/>
          <w:bCs/>
          <w:sz w:val="32"/>
          <w:szCs w:val="32"/>
          <w:rtl/>
          <w:lang w:bidi="ar-DZ"/>
        </w:rPr>
        <w:t>"</w:t>
      </w:r>
      <w:r>
        <w:rPr>
          <w:rStyle w:val="Appelnotedebasdep"/>
          <w:rFonts w:ascii="Traditional Arabic" w:eastAsia="MingLiU-ExtB" w:hAnsi="Traditional Arabic" w:cs="Traditional Arabic"/>
          <w:b/>
          <w:bCs/>
          <w:sz w:val="32"/>
          <w:szCs w:val="32"/>
          <w:rtl/>
          <w:lang w:bidi="ar-DZ"/>
        </w:rPr>
        <w:footnoteReference w:id="9"/>
      </w:r>
      <w:r w:rsidRPr="009120E8">
        <w:rPr>
          <w:rFonts w:ascii="Traditional Arabic" w:eastAsia="MingLiU-ExtB" w:hAnsi="Traditional Arabic" w:cs="Traditional Arabic"/>
          <w:sz w:val="32"/>
          <w:szCs w:val="32"/>
          <w:rtl/>
          <w:lang w:bidi="ar-DZ"/>
        </w:rPr>
        <w:t>.</w:t>
      </w:r>
    </w:p>
    <w:p w:rsidR="009120E8" w:rsidRDefault="002F0E22" w:rsidP="00B61A3B">
      <w:pPr>
        <w:tabs>
          <w:tab w:val="left" w:pos="7586"/>
        </w:tabs>
        <w:bidi/>
        <w:jc w:val="left"/>
        <w:rPr>
          <w:rFonts w:ascii="Traditional Arabic" w:hAnsi="Traditional Arabic" w:cs="Traditional Arabic"/>
          <w:sz w:val="32"/>
          <w:szCs w:val="32"/>
          <w:rtl/>
          <w:lang w:bidi="ar-DZ"/>
        </w:rPr>
      </w:pPr>
      <w:r w:rsidRPr="002F0E22">
        <w:rPr>
          <w:rFonts w:ascii="Traditional Arabic" w:hAnsi="Traditional Arabic" w:cs="Traditional Arabic"/>
          <w:sz w:val="32"/>
          <w:szCs w:val="32"/>
          <w:rtl/>
          <w:lang w:bidi="ar-DZ"/>
        </w:rPr>
        <w:t xml:space="preserve">وبحلول سنة 1860 لم يعد الوضع </w:t>
      </w:r>
      <w:r>
        <w:rPr>
          <w:rFonts w:ascii="Traditional Arabic" w:hAnsi="Traditional Arabic" w:cs="Traditional Arabic" w:hint="cs"/>
          <w:sz w:val="32"/>
          <w:szCs w:val="32"/>
          <w:rtl/>
          <w:lang w:bidi="ar-DZ"/>
        </w:rPr>
        <w:t xml:space="preserve">في الجزائر </w:t>
      </w:r>
      <w:r w:rsidRPr="002F0E22">
        <w:rPr>
          <w:rFonts w:ascii="Traditional Arabic" w:hAnsi="Traditional Arabic" w:cs="Traditional Arabic"/>
          <w:sz w:val="32"/>
          <w:szCs w:val="32"/>
          <w:rtl/>
          <w:lang w:bidi="ar-DZ"/>
        </w:rPr>
        <w:t>يرضي أحدا، لا الفلاحين الذين تم تجريدهم من ممتلكاتهم أو تهديدهم بذلك، ولا الأوروبيين المتحمسين للملكية والامتيازات التي كفلها لهم القانون الفرنسي لتشجيعهم على الاستيطان، ولا الدولة الغازية التي كانت حريصة على الحفاظ على النظم القائمة ومحاولة زيادة عائداتها من الأراضي الجزائرية، وكذلك زيادة تدفق مهاجريها لهذه الأراضي</w:t>
      </w:r>
      <w:r w:rsidRPr="002F0E22">
        <w:rPr>
          <w:rFonts w:ascii="Traditional Arabic" w:hAnsi="Traditional Arabic" w:cs="Traditional Arabic"/>
          <w:sz w:val="32"/>
          <w:szCs w:val="32"/>
          <w:vertAlign w:val="superscript"/>
          <w:rtl/>
          <w:lang w:bidi="ar-DZ"/>
        </w:rPr>
        <w:footnoteReference w:id="10"/>
      </w:r>
    </w:p>
    <w:p w:rsidR="002F0E22" w:rsidRPr="002F0E22" w:rsidRDefault="002F0E22" w:rsidP="00B61A3B">
      <w:pPr>
        <w:bidi/>
        <w:jc w:val="left"/>
        <w:rPr>
          <w:rFonts w:ascii="Traditional Arabic" w:hAnsi="Traditional Arabic" w:cs="Traditional Arabic"/>
          <w:sz w:val="32"/>
          <w:szCs w:val="32"/>
          <w:rtl/>
          <w:lang w:bidi="ar-DZ"/>
        </w:rPr>
      </w:pPr>
      <w:r w:rsidRPr="002F0E22">
        <w:rPr>
          <w:rFonts w:ascii="Simplified Arabic" w:hAnsi="Simplified Arabic" w:cs="Simplified Arabic"/>
          <w:sz w:val="30"/>
          <w:szCs w:val="30"/>
          <w:rtl/>
          <w:lang w:bidi="ar-DZ"/>
        </w:rPr>
        <w:lastRenderedPageBreak/>
        <w:t xml:space="preserve">    </w:t>
      </w:r>
      <w:r w:rsidRPr="002F0E22">
        <w:rPr>
          <w:rFonts w:ascii="Traditional Arabic" w:hAnsi="Traditional Arabic" w:cs="Traditional Arabic"/>
          <w:sz w:val="32"/>
          <w:szCs w:val="32"/>
          <w:rtl/>
          <w:lang w:bidi="ar-DZ"/>
        </w:rPr>
        <w:t>سعى مجلس الشيوخ انطلاقا مما تم تقديمه في أوراق لجنة التحقيق التي تحرت الوضع في الجزائر بناء على الأمر الصادر منه على محاولة وضع معالم نظام يعالج مسألة الأرض في الجزائر يراعي خصوصية المجتمع وأنماط ملكيته للأراضي ومصالح الدولة الفرنسية هناك</w:t>
      </w:r>
    </w:p>
    <w:p w:rsidR="002F0E22" w:rsidRDefault="002F0E22" w:rsidP="00B61A3B">
      <w:pPr>
        <w:tabs>
          <w:tab w:val="left" w:pos="7586"/>
        </w:tabs>
        <w:bidi/>
        <w:jc w:val="left"/>
        <w:rPr>
          <w:rFonts w:ascii="Traditional Arabic" w:hAnsi="Traditional Arabic" w:cs="Traditional Arabic"/>
          <w:sz w:val="32"/>
          <w:szCs w:val="32"/>
          <w:rtl/>
          <w:lang w:bidi="ar-DZ"/>
        </w:rPr>
      </w:pPr>
      <w:r w:rsidRPr="002F0E22">
        <w:rPr>
          <w:rFonts w:ascii="Traditional Arabic" w:hAnsi="Traditional Arabic" w:cs="Traditional Arabic"/>
          <w:sz w:val="32"/>
          <w:szCs w:val="32"/>
          <w:rtl/>
          <w:lang w:bidi="ar-DZ"/>
        </w:rPr>
        <w:t xml:space="preserve">  ويذكر بعض الباحثين الفرنسيين أمثال أندري نوشي </w:t>
      </w:r>
      <w:r w:rsidRPr="002F0E22">
        <w:rPr>
          <w:rFonts w:ascii="Traditional Arabic" w:hAnsi="Traditional Arabic" w:cs="Traditional Arabic"/>
          <w:sz w:val="32"/>
          <w:szCs w:val="32"/>
          <w:lang w:bidi="ar-DZ"/>
        </w:rPr>
        <w:t>Andri Nouchi</w:t>
      </w:r>
      <w:r w:rsidRPr="002F0E22">
        <w:rPr>
          <w:rFonts w:ascii="Traditional Arabic" w:hAnsi="Traditional Arabic" w:cs="Traditional Arabic"/>
          <w:sz w:val="32"/>
          <w:szCs w:val="32"/>
          <w:rtl/>
          <w:lang w:bidi="ar-DZ"/>
        </w:rPr>
        <w:t xml:space="preserve"> في كتابه "دراسة استقصائية عن مستوى معيشة سكان الريف القسنطيني منذ الغزو الى 1919" </w:t>
      </w:r>
      <w:r w:rsidRPr="002F0E22">
        <w:rPr>
          <w:rFonts w:ascii="Traditional Arabic" w:hAnsi="Traditional Arabic" w:cs="Traditional Arabic"/>
          <w:sz w:val="32"/>
          <w:szCs w:val="32"/>
          <w:lang w:bidi="ar-DZ"/>
        </w:rPr>
        <w:t>Enquête sur le niveau de vie</w:t>
      </w:r>
      <w:r w:rsidRPr="002F0E22">
        <w:rPr>
          <w:rFonts w:ascii="Traditional Arabic" w:hAnsi="Traditional Arabic" w:cs="Traditional Arabic"/>
          <w:sz w:val="32"/>
          <w:szCs w:val="32"/>
          <w:rtl/>
          <w:lang w:bidi="ar-DZ"/>
        </w:rPr>
        <w:t>"</w:t>
      </w:r>
      <w:r w:rsidRPr="002F0E22">
        <w:rPr>
          <w:rFonts w:ascii="Traditional Arabic" w:hAnsi="Traditional Arabic" w:cs="Traditional Arabic"/>
          <w:sz w:val="32"/>
          <w:szCs w:val="32"/>
          <w:lang w:bidi="ar-DZ"/>
        </w:rPr>
        <w:t xml:space="preserve"> </w:t>
      </w:r>
      <w:r w:rsidRPr="002F0E22">
        <w:rPr>
          <w:rFonts w:ascii="Traditional Arabic" w:hAnsi="Traditional Arabic" w:cs="Traditional Arabic"/>
          <w:sz w:val="32"/>
          <w:szCs w:val="32"/>
          <w:rtl/>
          <w:lang w:bidi="ar-DZ"/>
        </w:rPr>
        <w:t>"</w:t>
      </w:r>
      <w:r w:rsidRPr="002F0E22">
        <w:rPr>
          <w:rFonts w:ascii="Traditional Arabic" w:hAnsi="Traditional Arabic" w:cs="Traditional Arabic"/>
          <w:sz w:val="32"/>
          <w:szCs w:val="32"/>
          <w:lang w:bidi="ar-DZ"/>
        </w:rPr>
        <w:t>des population rurale Constantinoise de la conquête jusqu’au 1919</w:t>
      </w:r>
      <w:r w:rsidRPr="002F0E22">
        <w:rPr>
          <w:rFonts w:ascii="Traditional Arabic" w:hAnsi="Traditional Arabic" w:cs="Traditional Arabic"/>
          <w:sz w:val="32"/>
          <w:szCs w:val="32"/>
          <w:rtl/>
          <w:lang w:bidi="ar-DZ"/>
        </w:rPr>
        <w:t xml:space="preserve"> وكذلك الكاتب الفرنسي "ياكون" "</w:t>
      </w:r>
      <w:r w:rsidRPr="002F0E22">
        <w:rPr>
          <w:rFonts w:ascii="Traditional Arabic" w:hAnsi="Traditional Arabic" w:cs="Traditional Arabic"/>
          <w:sz w:val="32"/>
          <w:szCs w:val="32"/>
          <w:lang w:bidi="ar-DZ"/>
        </w:rPr>
        <w:t>YAcon</w:t>
      </w:r>
      <w:r w:rsidRPr="002F0E22">
        <w:rPr>
          <w:rFonts w:ascii="Traditional Arabic" w:hAnsi="Traditional Arabic" w:cs="Traditional Arabic"/>
          <w:sz w:val="32"/>
          <w:szCs w:val="32"/>
          <w:rtl/>
          <w:lang w:bidi="ar-DZ"/>
        </w:rPr>
        <w:t xml:space="preserve">" في كتابه احتلال سهول الشلف </w:t>
      </w:r>
      <w:r w:rsidRPr="002F0E22">
        <w:rPr>
          <w:rFonts w:ascii="Traditional Arabic" w:hAnsi="Traditional Arabic" w:cs="Traditional Arabic"/>
          <w:sz w:val="32"/>
          <w:szCs w:val="32"/>
          <w:lang w:bidi="ar-DZ"/>
        </w:rPr>
        <w:t>la colonisation des plaines du Chélif</w:t>
      </w:r>
      <w:r w:rsidRPr="002F0E22">
        <w:rPr>
          <w:rFonts w:ascii="Traditional Arabic" w:hAnsi="Traditional Arabic" w:cs="Traditional Arabic"/>
          <w:sz w:val="32"/>
          <w:szCs w:val="32"/>
          <w:rtl/>
          <w:lang w:bidi="ar-DZ"/>
        </w:rPr>
        <w:t xml:space="preserve"> أن البيانات التي قدمتها اللجان المحققة في واقع الجزائريين قبل قانون مجلس الشيوخ كانت متباينة بسبب اختلاف تقارير أعضائها، كما أنها غير متساوية القيمة وركزت في عملها على الجزء الشمالي، ولكن رغم هذا اتخذت هذه المعلومات كقاعدة لتنظيم حالة الأرض والمجتمع الريفي في هذه الفترة</w:t>
      </w:r>
      <w:r w:rsidR="00A17B42">
        <w:rPr>
          <w:rStyle w:val="Appelnotedebasdep"/>
          <w:rFonts w:ascii="Traditional Arabic" w:hAnsi="Traditional Arabic" w:cs="Traditional Arabic"/>
          <w:sz w:val="32"/>
          <w:szCs w:val="32"/>
          <w:rtl/>
          <w:lang w:bidi="ar-DZ"/>
        </w:rPr>
        <w:footnoteReference w:id="11"/>
      </w:r>
      <w:r w:rsidRPr="002F0E22">
        <w:rPr>
          <w:rFonts w:ascii="Traditional Arabic" w:hAnsi="Traditional Arabic" w:cs="Traditional Arabic"/>
          <w:sz w:val="32"/>
          <w:szCs w:val="32"/>
          <w:rtl/>
          <w:lang w:bidi="ar-DZ"/>
        </w:rPr>
        <w:t>.</w:t>
      </w:r>
    </w:p>
    <w:p w:rsidR="00205B05" w:rsidRDefault="00A17B42" w:rsidP="00B61A3B">
      <w:pPr>
        <w:tabs>
          <w:tab w:val="left" w:pos="7586"/>
        </w:tabs>
        <w:bidi/>
        <w:jc w:val="left"/>
        <w:rPr>
          <w:rFonts w:ascii="Traditional Arabic" w:hAnsi="Traditional Arabic" w:cs="Traditional Arabic"/>
          <w:sz w:val="32"/>
          <w:szCs w:val="32"/>
          <w:lang w:bidi="ar-DZ"/>
        </w:rPr>
      </w:pPr>
      <w:r w:rsidRPr="00A17B4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w:t>
      </w:r>
      <w:r w:rsidRPr="00A17B42">
        <w:rPr>
          <w:rFonts w:ascii="Traditional Arabic" w:hAnsi="Traditional Arabic" w:cs="Traditional Arabic"/>
          <w:sz w:val="32"/>
          <w:szCs w:val="32"/>
          <w:rtl/>
          <w:lang w:bidi="ar-DZ"/>
        </w:rPr>
        <w:t xml:space="preserve">قد كانت الإدارة الفرنسية متأكدة بأنه لا يمكنها سحق السكان الأصليين وابعادهم واحلال الأوربيين أرضهم بطريقة مباشرة لأن هذا سيناقض مبدئها في أن الاحتلال سيتحقق كلما سمحت الظروف المحلية بذلك، لذلك كان الحل الوحيد هو إقامة مجمعات </w:t>
      </w:r>
      <w:r w:rsidR="00EE0E32" w:rsidRPr="00A17B42">
        <w:rPr>
          <w:rFonts w:ascii="Traditional Arabic" w:hAnsi="Traditional Arabic" w:cs="Traditional Arabic" w:hint="cs"/>
          <w:sz w:val="32"/>
          <w:szCs w:val="32"/>
          <w:rtl/>
          <w:lang w:bidi="ar-DZ"/>
        </w:rPr>
        <w:t>للأوربيين</w:t>
      </w:r>
      <w:r w:rsidRPr="00A17B42">
        <w:rPr>
          <w:rFonts w:ascii="Traditional Arabic" w:hAnsi="Traditional Arabic" w:cs="Traditional Arabic"/>
          <w:sz w:val="32"/>
          <w:szCs w:val="32"/>
          <w:rtl/>
          <w:lang w:bidi="ar-DZ"/>
        </w:rPr>
        <w:t xml:space="preserve"> داخل تجمعات الأهالي مع فرض إدارة صارمة وقوانين تحكم تعاملات الطرفين</w:t>
      </w:r>
      <w:r w:rsidRPr="00A17B42">
        <w:rPr>
          <w:rFonts w:ascii="Traditional Arabic" w:hAnsi="Traditional Arabic" w:cs="Traditional Arabic"/>
          <w:sz w:val="32"/>
          <w:szCs w:val="32"/>
          <w:vertAlign w:val="superscript"/>
          <w:rtl/>
          <w:lang w:bidi="ar-DZ"/>
        </w:rPr>
        <w:footnoteReference w:id="12"/>
      </w:r>
      <w:r w:rsidR="00EE0E32">
        <w:rPr>
          <w:rFonts w:ascii="Traditional Arabic" w:hAnsi="Traditional Arabic" w:cs="Traditional Arabic" w:hint="cs"/>
          <w:sz w:val="32"/>
          <w:szCs w:val="32"/>
          <w:rtl/>
          <w:lang w:bidi="ar-DZ"/>
        </w:rPr>
        <w:t xml:space="preserve"> لذلك وبعد نقاشات ومداولات عديدة أعلن مجلس الشيوخ وبناء على طلب الامبراطور عن قانون السيناتيس كونسيلت 22 أفريل 1863، والذي يهدف الى </w:t>
      </w:r>
      <w:r w:rsidR="00EE0E32" w:rsidRPr="00EE0E32">
        <w:rPr>
          <w:rFonts w:ascii="Traditional Arabic" w:hAnsi="Traditional Arabic" w:cs="Traditional Arabic"/>
          <w:sz w:val="32"/>
          <w:szCs w:val="32"/>
          <w:rtl/>
          <w:lang w:bidi="ar-DZ"/>
        </w:rPr>
        <w:t>محاولة تحسين ظروف الجزائريين والتي وصفتها لجنة التحقيق البرلمانية بالبائسة والمعدومة وانطلاقا من اعتبار نابليون الثالث نفسه امبراطورا للعرب كما هو امبراطور للفرنسيين جاء اعتماد هذا القانون لمعالجة مشكلة الأرض التي تعسفت الإدارة الفرنسية في مصادرتها رغم كونها مورد الجزائريين الوحيد</w:t>
      </w:r>
      <w:r w:rsidR="00BB4F55">
        <w:rPr>
          <w:rStyle w:val="Appelnotedebasdep"/>
          <w:rFonts w:ascii="Traditional Arabic" w:hAnsi="Traditional Arabic" w:cs="Traditional Arabic"/>
          <w:sz w:val="32"/>
          <w:szCs w:val="32"/>
          <w:rtl/>
          <w:lang w:bidi="ar-DZ"/>
        </w:rPr>
        <w:footnoteReference w:id="13"/>
      </w:r>
      <w:r w:rsidR="00EE0E32" w:rsidRPr="00EE0E32">
        <w:rPr>
          <w:rFonts w:ascii="Traditional Arabic" w:hAnsi="Traditional Arabic" w:cs="Traditional Arabic"/>
          <w:sz w:val="32"/>
          <w:szCs w:val="32"/>
          <w:rtl/>
          <w:lang w:bidi="ar-DZ"/>
        </w:rPr>
        <w:t>.</w:t>
      </w:r>
    </w:p>
    <w:p w:rsidR="00205B05" w:rsidRPr="00EA6397" w:rsidRDefault="00205B05" w:rsidP="00B61A3B">
      <w:pPr>
        <w:bidi/>
        <w:jc w:val="left"/>
        <w:rPr>
          <w:rFonts w:ascii="Traditional Arabic" w:hAnsi="Traditional Arabic" w:cs="Traditional Arabic"/>
          <w:b/>
          <w:bCs/>
          <w:sz w:val="32"/>
          <w:szCs w:val="32"/>
          <w:rtl/>
          <w:lang w:bidi="ar-DZ"/>
        </w:rPr>
      </w:pPr>
      <w:r w:rsidRPr="00EA6397">
        <w:rPr>
          <w:rFonts w:ascii="Traditional Arabic" w:hAnsi="Traditional Arabic" w:cs="Traditional Arabic"/>
          <w:b/>
          <w:bCs/>
          <w:sz w:val="32"/>
          <w:szCs w:val="32"/>
          <w:rtl/>
          <w:lang w:bidi="ar-DZ"/>
        </w:rPr>
        <w:t>محتوى القانون:</w:t>
      </w:r>
    </w:p>
    <w:p w:rsidR="00205B05" w:rsidRPr="00205B05" w:rsidRDefault="00205B05" w:rsidP="00B61A3B">
      <w:pPr>
        <w:bidi/>
        <w:jc w:val="left"/>
        <w:rPr>
          <w:rFonts w:ascii="Traditional Arabic" w:hAnsi="Traditional Arabic" w:cs="Traditional Arabic"/>
          <w:sz w:val="32"/>
          <w:szCs w:val="32"/>
          <w:rtl/>
          <w:lang w:bidi="ar-DZ"/>
        </w:rPr>
      </w:pPr>
      <w:r w:rsidRPr="00205B05">
        <w:rPr>
          <w:rFonts w:ascii="Traditional Arabic" w:hAnsi="Traditional Arabic" w:cs="Traditional Arabic"/>
          <w:sz w:val="32"/>
          <w:szCs w:val="32"/>
          <w:rtl/>
          <w:lang w:bidi="ar-DZ"/>
        </w:rPr>
        <w:t>المادة الأولى: تم الإعلان على أن أراضي القبائل الجزائرية هي ملك لهم بشكل دائم وتقليدي.</w:t>
      </w:r>
    </w:p>
    <w:p w:rsidR="00205B05" w:rsidRPr="00205B05" w:rsidRDefault="00205B05" w:rsidP="00B61A3B">
      <w:pPr>
        <w:bidi/>
        <w:jc w:val="left"/>
        <w:rPr>
          <w:rFonts w:ascii="Traditional Arabic" w:hAnsi="Traditional Arabic" w:cs="Traditional Arabic"/>
          <w:sz w:val="32"/>
          <w:szCs w:val="32"/>
          <w:rtl/>
          <w:lang w:bidi="ar-DZ"/>
        </w:rPr>
      </w:pPr>
      <w:r w:rsidRPr="00205B05">
        <w:rPr>
          <w:rFonts w:ascii="Traditional Arabic" w:hAnsi="Traditional Arabic" w:cs="Traditional Arabic"/>
          <w:sz w:val="32"/>
          <w:szCs w:val="32"/>
          <w:rtl/>
          <w:lang w:bidi="ar-DZ"/>
        </w:rPr>
        <w:lastRenderedPageBreak/>
        <w:t>واعتبرت هذه المادة تحقيقا لما جاء في المادة 11 من قانون 16 يونيو 1851 والتي نصت على امتلاك القبائل لملكية أراضيهم وتثبيتها لهم بإخراجها من ممتلكات الدولة</w:t>
      </w:r>
      <w:r w:rsidRPr="00205B05">
        <w:rPr>
          <w:rFonts w:ascii="Traditional Arabic" w:hAnsi="Traditional Arabic" w:cs="Traditional Arabic"/>
          <w:sz w:val="32"/>
          <w:szCs w:val="32"/>
          <w:vertAlign w:val="superscript"/>
          <w:rtl/>
          <w:lang w:bidi="ar-DZ"/>
        </w:rPr>
        <w:footnoteReference w:id="14"/>
      </w:r>
      <w:r w:rsidRPr="00205B05">
        <w:rPr>
          <w:rFonts w:ascii="Traditional Arabic" w:hAnsi="Traditional Arabic" w:cs="Traditional Arabic"/>
          <w:sz w:val="32"/>
          <w:szCs w:val="32"/>
          <w:rtl/>
          <w:lang w:bidi="ar-DZ"/>
        </w:rPr>
        <w:t>.</w:t>
      </w:r>
    </w:p>
    <w:p w:rsidR="00205B05" w:rsidRPr="00205B05" w:rsidRDefault="00205B05" w:rsidP="00B61A3B">
      <w:pPr>
        <w:bidi/>
        <w:jc w:val="left"/>
        <w:rPr>
          <w:rFonts w:ascii="Traditional Arabic" w:hAnsi="Traditional Arabic" w:cs="Traditional Arabic"/>
          <w:sz w:val="32"/>
          <w:szCs w:val="32"/>
          <w:rtl/>
          <w:lang w:bidi="ar-DZ"/>
        </w:rPr>
      </w:pPr>
      <w:r w:rsidRPr="00205B05">
        <w:rPr>
          <w:rFonts w:ascii="Traditional Arabic" w:hAnsi="Traditional Arabic" w:cs="Traditional Arabic"/>
          <w:sz w:val="32"/>
          <w:szCs w:val="32"/>
          <w:rtl/>
          <w:lang w:bidi="ar-DZ"/>
        </w:rPr>
        <w:t>المادة الثانية: ستقوم الإدارة الفرنسية في أسرع الآجال بترسيم حدود أراضي القبائل لتوزيعها على الدواوير المختلفة مع الحفاظ على الأراضي ذات الطابع الجماعي.</w:t>
      </w:r>
    </w:p>
    <w:p w:rsidR="00205B05" w:rsidRPr="00205B05" w:rsidRDefault="00205B05" w:rsidP="00B61A3B">
      <w:pPr>
        <w:bidi/>
        <w:jc w:val="left"/>
        <w:rPr>
          <w:rFonts w:ascii="Traditional Arabic" w:hAnsi="Traditional Arabic" w:cs="Traditional Arabic"/>
          <w:sz w:val="32"/>
          <w:szCs w:val="32"/>
          <w:rtl/>
          <w:lang w:bidi="ar-DZ"/>
        </w:rPr>
      </w:pPr>
      <w:r w:rsidRPr="00205B05">
        <w:rPr>
          <w:rFonts w:ascii="Traditional Arabic" w:hAnsi="Traditional Arabic" w:cs="Traditional Arabic"/>
          <w:sz w:val="32"/>
          <w:szCs w:val="32"/>
          <w:rtl/>
          <w:lang w:bidi="ar-DZ"/>
        </w:rPr>
        <w:t xml:space="preserve">المادة الثالثة: ستصدر لائحة من الإدارة العامة تحدد ما يلي: </w:t>
      </w:r>
    </w:p>
    <w:p w:rsidR="00205B05" w:rsidRPr="00205B05" w:rsidRDefault="00205B05" w:rsidP="00B61A3B">
      <w:pPr>
        <w:numPr>
          <w:ilvl w:val="0"/>
          <w:numId w:val="2"/>
        </w:numPr>
        <w:bidi/>
        <w:contextualSpacing/>
        <w:jc w:val="left"/>
        <w:rPr>
          <w:rFonts w:ascii="Traditional Arabic" w:hAnsi="Traditional Arabic" w:cs="Traditional Arabic"/>
          <w:sz w:val="32"/>
          <w:szCs w:val="32"/>
          <w:lang w:bidi="ar-DZ"/>
        </w:rPr>
      </w:pPr>
      <w:r w:rsidRPr="00205B05">
        <w:rPr>
          <w:rFonts w:ascii="Traditional Arabic" w:hAnsi="Traditional Arabic" w:cs="Traditional Arabic"/>
          <w:sz w:val="32"/>
          <w:szCs w:val="32"/>
          <w:rtl/>
          <w:lang w:bidi="ar-DZ"/>
        </w:rPr>
        <w:t>ترسيم حدود أراضي القبائل.</w:t>
      </w:r>
    </w:p>
    <w:p w:rsidR="00205B05" w:rsidRPr="00205B05" w:rsidRDefault="00205B05" w:rsidP="00B61A3B">
      <w:pPr>
        <w:numPr>
          <w:ilvl w:val="0"/>
          <w:numId w:val="2"/>
        </w:numPr>
        <w:bidi/>
        <w:contextualSpacing/>
        <w:jc w:val="left"/>
        <w:rPr>
          <w:rFonts w:ascii="Traditional Arabic" w:hAnsi="Traditional Arabic" w:cs="Traditional Arabic"/>
          <w:sz w:val="32"/>
          <w:szCs w:val="32"/>
          <w:lang w:bidi="ar-DZ"/>
        </w:rPr>
      </w:pPr>
      <w:r w:rsidRPr="00205B05">
        <w:rPr>
          <w:rFonts w:ascii="Traditional Arabic" w:hAnsi="Traditional Arabic" w:cs="Traditional Arabic"/>
          <w:sz w:val="32"/>
          <w:szCs w:val="32"/>
          <w:rtl/>
          <w:lang w:bidi="ar-DZ"/>
        </w:rPr>
        <w:t>أشكال وشروط توزيعها على الدواوير المختلفة.</w:t>
      </w:r>
    </w:p>
    <w:p w:rsidR="00205B05" w:rsidRPr="00205B05" w:rsidRDefault="00205B05" w:rsidP="00B61A3B">
      <w:pPr>
        <w:numPr>
          <w:ilvl w:val="0"/>
          <w:numId w:val="2"/>
        </w:numPr>
        <w:bidi/>
        <w:contextualSpacing/>
        <w:jc w:val="left"/>
        <w:rPr>
          <w:rFonts w:ascii="Traditional Arabic" w:hAnsi="Traditional Arabic" w:cs="Traditional Arabic"/>
          <w:sz w:val="32"/>
          <w:szCs w:val="32"/>
          <w:lang w:bidi="ar-DZ"/>
        </w:rPr>
      </w:pPr>
      <w:r w:rsidRPr="00205B05">
        <w:rPr>
          <w:rFonts w:ascii="Traditional Arabic" w:hAnsi="Traditional Arabic" w:cs="Traditional Arabic"/>
          <w:sz w:val="32"/>
          <w:szCs w:val="32"/>
          <w:rtl/>
          <w:lang w:bidi="ar-DZ"/>
        </w:rPr>
        <w:t>الأشكال والشروط التي سيتم بموجبها تأسيس الملكية الفردية.</w:t>
      </w:r>
    </w:p>
    <w:p w:rsidR="00205B05" w:rsidRPr="00205B05" w:rsidRDefault="00205B05" w:rsidP="00B61A3B">
      <w:pPr>
        <w:bidi/>
        <w:contextualSpacing/>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المادة الرابعة: </w:t>
      </w:r>
      <w:r w:rsidRPr="00205B05">
        <w:rPr>
          <w:rFonts w:ascii="Traditional Arabic" w:hAnsi="Traditional Arabic" w:cs="Traditional Arabic"/>
          <w:sz w:val="32"/>
          <w:szCs w:val="32"/>
          <w:rtl/>
          <w:lang w:bidi="ar-DZ"/>
        </w:rPr>
        <w:t>يستمر أصحاب الأراضي بدفع الضرائب والاتاوات المفروضة عليهم كما كان في الماضي الى أن يأمر بخلاف ذلك بقرارات من الإدارة العامة.</w:t>
      </w:r>
    </w:p>
    <w:p w:rsidR="00205B05" w:rsidRPr="00205B05" w:rsidRDefault="00205B05" w:rsidP="00B61A3B">
      <w:pPr>
        <w:bidi/>
        <w:contextualSpacing/>
        <w:jc w:val="left"/>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المادة الخامسة: </w:t>
      </w:r>
      <w:r w:rsidRPr="00205B05">
        <w:rPr>
          <w:rFonts w:ascii="Traditional Arabic" w:hAnsi="Traditional Arabic" w:cs="Traditional Arabic"/>
          <w:sz w:val="32"/>
          <w:szCs w:val="32"/>
          <w:rtl/>
          <w:lang w:bidi="ar-DZ"/>
        </w:rPr>
        <w:t>ستحتفظ الدولة بحق ملكية الأراضي والممتلكات التابعة للبايلك كما هو محدد في المادة 2 من قانون 16 جوان 1851</w:t>
      </w:r>
      <w:r w:rsidRPr="00205B05">
        <w:rPr>
          <w:rFonts w:ascii="Traditional Arabic" w:hAnsi="Traditional Arabic" w:cs="Traditional Arabic"/>
          <w:sz w:val="32"/>
          <w:szCs w:val="32"/>
          <w:vertAlign w:val="superscript"/>
          <w:rtl/>
          <w:lang w:bidi="ar-DZ"/>
        </w:rPr>
        <w:footnoteReference w:id="15"/>
      </w:r>
      <w:r w:rsidRPr="00205B05">
        <w:rPr>
          <w:rFonts w:ascii="Traditional Arabic" w:hAnsi="Traditional Arabic" w:cs="Traditional Arabic"/>
          <w:sz w:val="32"/>
          <w:szCs w:val="32"/>
          <w:rtl/>
          <w:lang w:bidi="ar-DZ"/>
        </w:rPr>
        <w:t>.</w:t>
      </w:r>
    </w:p>
    <w:p w:rsidR="00205B05" w:rsidRPr="00205B05" w:rsidRDefault="00205B05" w:rsidP="00B61A3B">
      <w:pPr>
        <w:bidi/>
        <w:jc w:val="left"/>
        <w:rPr>
          <w:rFonts w:ascii="Traditional Arabic" w:hAnsi="Traditional Arabic" w:cs="Traditional Arabic"/>
          <w:sz w:val="32"/>
          <w:szCs w:val="32"/>
          <w:rtl/>
          <w:lang w:bidi="ar-DZ"/>
        </w:rPr>
      </w:pPr>
      <w:r w:rsidRPr="00205B05">
        <w:rPr>
          <w:rFonts w:ascii="Traditional Arabic" w:hAnsi="Traditional Arabic" w:cs="Traditional Arabic"/>
          <w:sz w:val="32"/>
          <w:szCs w:val="32"/>
          <w:rtl/>
          <w:lang w:bidi="ar-DZ"/>
        </w:rPr>
        <w:t>المادة</w:t>
      </w:r>
      <w:r>
        <w:rPr>
          <w:rFonts w:ascii="Traditional Arabic" w:hAnsi="Traditional Arabic" w:cs="Traditional Arabic" w:hint="cs"/>
          <w:sz w:val="32"/>
          <w:szCs w:val="32"/>
          <w:rtl/>
          <w:lang w:bidi="ar-DZ"/>
        </w:rPr>
        <w:t xml:space="preserve"> السادسة</w:t>
      </w:r>
      <w:r w:rsidRPr="00205B05">
        <w:rPr>
          <w:rFonts w:ascii="Traditional Arabic" w:hAnsi="Traditional Arabic" w:cs="Traditional Arabic"/>
          <w:sz w:val="32"/>
          <w:szCs w:val="32"/>
          <w:rtl/>
          <w:lang w:bidi="ar-DZ"/>
        </w:rPr>
        <w:t>: تلغي الفقرة الثانية والثالثة من المادة 14 من قانون 16 جوان 1851 الملكيا</w:t>
      </w:r>
      <w:r>
        <w:rPr>
          <w:rFonts w:ascii="Traditional Arabic" w:hAnsi="Traditional Arabic" w:cs="Traditional Arabic"/>
          <w:sz w:val="32"/>
          <w:szCs w:val="32"/>
          <w:rtl/>
          <w:lang w:bidi="ar-DZ"/>
        </w:rPr>
        <w:t>ت الفردية في الجزائر، كما</w:t>
      </w:r>
      <w:r>
        <w:rPr>
          <w:rFonts w:ascii="Traditional Arabic" w:hAnsi="Traditional Arabic" w:cs="Traditional Arabic" w:hint="cs"/>
          <w:sz w:val="32"/>
          <w:szCs w:val="32"/>
          <w:rtl/>
          <w:lang w:bidi="ar-DZ"/>
        </w:rPr>
        <w:t xml:space="preserve"> </w:t>
      </w:r>
      <w:r w:rsidRPr="00205B05">
        <w:rPr>
          <w:rFonts w:ascii="Traditional Arabic" w:hAnsi="Traditional Arabic" w:cs="Traditional Arabic"/>
          <w:sz w:val="32"/>
          <w:szCs w:val="32"/>
          <w:rtl/>
          <w:lang w:bidi="ar-DZ"/>
        </w:rPr>
        <w:t>أن الملكيات الفردية التي سيتم تقسيمها بمقتضى قانون</w:t>
      </w:r>
      <w:r w:rsidRPr="00205B05">
        <w:rPr>
          <w:rFonts w:ascii="Traditional Arabic" w:hAnsi="Traditional Arabic" w:cs="Traditional Arabic"/>
          <w:sz w:val="32"/>
          <w:szCs w:val="32"/>
          <w:lang w:bidi="ar-DZ"/>
        </w:rPr>
        <w:t>22</w:t>
      </w:r>
      <w:r w:rsidRPr="00205B05">
        <w:rPr>
          <w:rFonts w:ascii="Traditional Arabic" w:hAnsi="Traditional Arabic" w:cs="Traditional Arabic"/>
          <w:sz w:val="32"/>
          <w:szCs w:val="32"/>
          <w:rtl/>
          <w:lang w:bidi="ar-DZ"/>
        </w:rPr>
        <w:t xml:space="preserve"> أفريل 1863م لا يمكن لأصحابها التصرف فيها الا بعد اصدار سندات الملكية من الجهات المختصة.</w:t>
      </w:r>
    </w:p>
    <w:p w:rsidR="00205B05" w:rsidRDefault="00205B05" w:rsidP="00B61A3B">
      <w:pPr>
        <w:tabs>
          <w:tab w:val="left" w:pos="7586"/>
        </w:tabs>
        <w:bidi/>
        <w:jc w:val="left"/>
        <w:rPr>
          <w:rFonts w:ascii="Traditional Arabic" w:hAnsi="Traditional Arabic" w:cs="Traditional Arabic"/>
          <w:sz w:val="32"/>
          <w:szCs w:val="32"/>
          <w:lang w:bidi="ar-DZ"/>
        </w:rPr>
      </w:pPr>
      <w:r w:rsidRPr="00205B05">
        <w:rPr>
          <w:rFonts w:ascii="Traditional Arabic" w:hAnsi="Traditional Arabic" w:cs="Traditional Arabic"/>
          <w:sz w:val="32"/>
          <w:szCs w:val="32"/>
          <w:rtl/>
          <w:lang w:bidi="ar-DZ"/>
        </w:rPr>
        <w:t>المادة</w:t>
      </w:r>
      <w:r>
        <w:rPr>
          <w:rFonts w:ascii="Traditional Arabic" w:hAnsi="Traditional Arabic" w:cs="Traditional Arabic" w:hint="cs"/>
          <w:sz w:val="32"/>
          <w:szCs w:val="32"/>
          <w:rtl/>
          <w:lang w:bidi="ar-DZ"/>
        </w:rPr>
        <w:t xml:space="preserve"> السابعة: </w:t>
      </w:r>
      <w:r w:rsidRPr="00205B05">
        <w:rPr>
          <w:rFonts w:ascii="Traditional Arabic" w:hAnsi="Traditional Arabic" w:cs="Traditional Arabic"/>
          <w:sz w:val="32"/>
          <w:szCs w:val="32"/>
          <w:rtl/>
          <w:lang w:bidi="ar-DZ"/>
        </w:rPr>
        <w:t xml:space="preserve"> ان أحكام ومواد هذا القانون أي سيناتيس كونسيلت لا تتعارض مع مواد قانون 1851 فيما تعلق بنزع الملكية في تعارضها مع منافع المصلحة العامة</w:t>
      </w:r>
      <w:r w:rsidRPr="00205B05">
        <w:rPr>
          <w:rFonts w:ascii="Traditional Arabic" w:hAnsi="Traditional Arabic" w:cs="Traditional Arabic"/>
          <w:sz w:val="32"/>
          <w:szCs w:val="32"/>
          <w:vertAlign w:val="superscript"/>
          <w:rtl/>
          <w:lang w:bidi="ar-DZ"/>
        </w:rPr>
        <w:footnoteReference w:id="16"/>
      </w:r>
      <w:r w:rsidR="00B46312">
        <w:rPr>
          <w:rFonts w:ascii="Traditional Arabic" w:hAnsi="Traditional Arabic" w:cs="Traditional Arabic"/>
          <w:sz w:val="32"/>
          <w:szCs w:val="32"/>
          <w:lang w:bidi="ar-DZ"/>
        </w:rPr>
        <w:t>.</w:t>
      </w:r>
    </w:p>
    <w:p w:rsidR="00B46312" w:rsidRDefault="00B46312" w:rsidP="00B61A3B">
      <w:pPr>
        <w:bidi/>
        <w:jc w:val="left"/>
        <w:rPr>
          <w:rFonts w:ascii="Simplified Arabic" w:hAnsi="Simplified Arabic" w:cs="Simplified Arabic"/>
          <w:sz w:val="30"/>
          <w:szCs w:val="30"/>
          <w:rtl/>
          <w:lang w:bidi="ar-DZ"/>
        </w:rPr>
      </w:pPr>
      <w:r w:rsidRPr="00B46312">
        <w:rPr>
          <w:rFonts w:ascii="Traditional Arabic" w:hAnsi="Traditional Arabic" w:cs="Traditional Arabic"/>
          <w:sz w:val="32"/>
          <w:szCs w:val="32"/>
          <w:rtl/>
          <w:lang w:bidi="ar-DZ"/>
        </w:rPr>
        <w:lastRenderedPageBreak/>
        <w:t>فقد اعتبر قانون السيناتيس كونسيلت انتصارا للإمبراطور وسياسته المملكة العربية وكذلك انتصارا للمكاتب العربية التي ستدار البلاد من خلالها</w:t>
      </w:r>
      <w:r w:rsidRPr="00B46312">
        <w:rPr>
          <w:rFonts w:ascii="Traditional Arabic" w:hAnsi="Traditional Arabic" w:cs="Traditional Arabic"/>
          <w:sz w:val="32"/>
          <w:szCs w:val="32"/>
          <w:vertAlign w:val="superscript"/>
          <w:rtl/>
          <w:lang w:bidi="ar-DZ"/>
        </w:rPr>
        <w:footnoteReference w:id="17"/>
      </w:r>
      <w:r w:rsidRPr="00B46312">
        <w:rPr>
          <w:rFonts w:ascii="Traditional Arabic" w:hAnsi="Traditional Arabic" w:cs="Traditional Arabic"/>
          <w:sz w:val="32"/>
          <w:szCs w:val="32"/>
          <w:rtl/>
          <w:lang w:bidi="ar-DZ"/>
        </w:rPr>
        <w:t>، حيث سيعمل هذا القانون على الغاء مفهوم القبيلة وتعويضها بالدوار الذي سيكون مكونا من سكان متجانسين في العادات والتقاليد وأيضا سيعمل على الغاء الزعمات القبلية الكبرى</w:t>
      </w:r>
      <w:r w:rsidRPr="00B46312">
        <w:rPr>
          <w:rFonts w:ascii="Traditional Arabic" w:hAnsi="Traditional Arabic" w:cs="Traditional Arabic"/>
          <w:sz w:val="32"/>
          <w:szCs w:val="32"/>
          <w:vertAlign w:val="superscript"/>
          <w:rtl/>
          <w:lang w:bidi="ar-DZ"/>
        </w:rPr>
        <w:footnoteReference w:id="18"/>
      </w:r>
      <w:r w:rsidRPr="00B46312">
        <w:rPr>
          <w:rFonts w:ascii="Simplified Arabic" w:hAnsi="Simplified Arabic" w:cs="Simplified Arabic"/>
          <w:sz w:val="30"/>
          <w:szCs w:val="30"/>
          <w:lang w:bidi="ar-DZ"/>
        </w:rPr>
        <w:t>.</w:t>
      </w:r>
    </w:p>
    <w:p w:rsidR="00D80268" w:rsidRPr="00D80268" w:rsidRDefault="00D80268" w:rsidP="00B61A3B">
      <w:pPr>
        <w:bidi/>
        <w:jc w:val="left"/>
        <w:rPr>
          <w:rFonts w:ascii="Traditional Arabic" w:hAnsi="Traditional Arabic" w:cs="Traditional Arabic"/>
          <w:sz w:val="32"/>
          <w:szCs w:val="32"/>
          <w:rtl/>
          <w:lang w:bidi="ar-DZ"/>
        </w:rPr>
      </w:pPr>
      <w:r w:rsidRPr="00D80268">
        <w:rPr>
          <w:rFonts w:ascii="Traditional Arabic" w:hAnsi="Traditional Arabic" w:cs="Traditional Arabic"/>
          <w:sz w:val="32"/>
          <w:szCs w:val="32"/>
          <w:rtl/>
          <w:lang w:bidi="ar-DZ"/>
        </w:rPr>
        <w:t>وقد رأى مجلس الشيوخ أن هذا القانون هو الحل الأمثل لمشكلة الأرض حيث جاء في عرض الأسباب ما يلي:</w:t>
      </w:r>
    </w:p>
    <w:p w:rsidR="00D80268" w:rsidRPr="00D80268" w:rsidRDefault="00D80268" w:rsidP="00B61A3B">
      <w:pPr>
        <w:tabs>
          <w:tab w:val="left" w:pos="7586"/>
        </w:tabs>
        <w:bidi/>
        <w:jc w:val="left"/>
        <w:rPr>
          <w:rFonts w:ascii="Traditional Arabic" w:eastAsia="MingLiU-ExtB" w:hAnsi="Traditional Arabic" w:cs="Traditional Arabic"/>
          <w:sz w:val="32"/>
          <w:szCs w:val="32"/>
          <w:rtl/>
          <w:lang w:bidi="ar-DZ"/>
        </w:rPr>
      </w:pPr>
      <w:r w:rsidRPr="00D80268">
        <w:rPr>
          <w:rFonts w:ascii="Traditional Arabic" w:eastAsia="MingLiU-ExtB" w:hAnsi="Traditional Arabic" w:cs="Traditional Arabic"/>
          <w:sz w:val="32"/>
          <w:szCs w:val="32"/>
          <w:rtl/>
          <w:lang w:bidi="ar-DZ"/>
        </w:rPr>
        <w:t>عندما رفعت فرنسا بعد حملة كبيرة علمها على أرض الجزائر وتوطنت في الأراضي التي فتحتها حديثا، تعهدت للعرب باحترام دينهم ولغتهم وممتلكاتهم.</w:t>
      </w:r>
    </w:p>
    <w:p w:rsidR="00D80268" w:rsidRPr="00D80268" w:rsidRDefault="00D80268" w:rsidP="00B61A3B">
      <w:pPr>
        <w:tabs>
          <w:tab w:val="left" w:pos="7586"/>
        </w:tabs>
        <w:bidi/>
        <w:jc w:val="left"/>
        <w:rPr>
          <w:rFonts w:ascii="Traditional Arabic" w:eastAsia="MingLiU-ExtB" w:hAnsi="Traditional Arabic" w:cs="Traditional Arabic"/>
          <w:sz w:val="32"/>
          <w:szCs w:val="32"/>
          <w:rtl/>
          <w:lang w:bidi="ar-DZ"/>
        </w:rPr>
      </w:pPr>
      <w:r w:rsidRPr="00D80268">
        <w:rPr>
          <w:rFonts w:ascii="Traditional Arabic" w:eastAsia="MingLiU-ExtB" w:hAnsi="Traditional Arabic" w:cs="Traditional Arabic"/>
          <w:sz w:val="32"/>
          <w:szCs w:val="32"/>
          <w:rtl/>
          <w:lang w:bidi="ar-DZ"/>
        </w:rPr>
        <w:t>وقد حافظت الحكومات المتعاقبة على هذا التعهد النبيل في خطابتها منذ سنة 1830 وقد جدده الامبراطور نابليون وأكد عليه في مراسلاته مع الحاكم العام الفرنسي في الجزائر الماريشال بليسييه بأنه لابد من اقناع العرب بأننا لم نأتي لقمعهم وإنما لحمل الحضارة لهم لهذا فإن أي حضارة لابد لها أن تحترم حقوق الآخرين وترتقي بهم لتمكنهم من التمتع بها.</w:t>
      </w:r>
    </w:p>
    <w:p w:rsidR="00D80268" w:rsidRPr="00757ED5" w:rsidRDefault="00D80268" w:rsidP="00B61A3B">
      <w:pPr>
        <w:tabs>
          <w:tab w:val="left" w:pos="7586"/>
        </w:tabs>
        <w:bidi/>
        <w:jc w:val="left"/>
        <w:rPr>
          <w:rFonts w:ascii="Simplified Arabic" w:eastAsia="MingLiU-ExtB" w:hAnsi="Simplified Arabic" w:cs="Simplified Arabic"/>
          <w:sz w:val="30"/>
          <w:szCs w:val="30"/>
          <w:rtl/>
          <w:lang w:bidi="ar-DZ"/>
        </w:rPr>
      </w:pPr>
      <w:r w:rsidRPr="00D80268">
        <w:rPr>
          <w:rFonts w:ascii="Traditional Arabic" w:eastAsia="MingLiU-ExtB" w:hAnsi="Traditional Arabic" w:cs="Traditional Arabic"/>
          <w:sz w:val="32"/>
          <w:szCs w:val="32"/>
          <w:rtl/>
          <w:lang w:bidi="ar-DZ"/>
        </w:rPr>
        <w:t>لكن لابد من تحديد مجال كل من الدولة والسكان الأصليين على هذه الأرض وطبيعة التي تحكمهم فبسقوط الجزائر وزوال الحكم التركي الذي لم يترك خلفه لا سجلات ولا وثائق محفوظة تجعل من الممكن التعرف بعلامات معينة على المجال الحقيقي للدولة لذلك رأيي للإمبراطور والمجلس الاستشاري أنه من لابد من وضع بنية راسخة تنظم هذه الممتلكات وتحترمها</w:t>
      </w:r>
      <w:r w:rsidR="00756138">
        <w:rPr>
          <w:rFonts w:ascii="Traditional Arabic" w:eastAsia="MingLiU-ExtB" w:hAnsi="Traditional Arabic" w:cs="Traditional Arabic" w:hint="cs"/>
          <w:sz w:val="32"/>
          <w:szCs w:val="32"/>
          <w:rtl/>
          <w:lang w:bidi="ar-DZ"/>
        </w:rPr>
        <w:t xml:space="preserve">، </w:t>
      </w:r>
      <w:r w:rsidR="00756138" w:rsidRPr="00756138">
        <w:rPr>
          <w:rFonts w:ascii="Traditional Arabic" w:eastAsia="MingLiU-ExtB" w:hAnsi="Traditional Arabic" w:cs="Traditional Arabic"/>
          <w:sz w:val="32"/>
          <w:szCs w:val="32"/>
          <w:rtl/>
          <w:lang w:bidi="ar-DZ"/>
        </w:rPr>
        <w:t>لذلك جاء هذا التشريع أو قانون سيناتيس كونسيلت لحل مشكلة الأرض في الجزائر، وعلى هذا الأساس فإن الأراضي الشاسعة التي تحتلها القبائل لا تتناسب مع احتياجاتها، لذلك فمن الممكن، ودون الحاق ضرر حقيقي بالسكان تقييدهم بمساحة معينة تتوافق مع متطلباتهم وأنه في مقابل هذه التضحية التي سيتعين عليهم تقديمها، سيصبحون مالكين غير قابلين للتغيير عن الأراضي التي يملكونها ومن خلال هذه العملية ستحصل الإدارة الفرنسية على حرية التصرف في الأراضي التي تحصلت عليها من خلال التقسيم</w:t>
      </w:r>
      <w:r w:rsidR="00757ED5">
        <w:rPr>
          <w:rFonts w:ascii="Traditional Arabic" w:eastAsia="MingLiU-ExtB" w:hAnsi="Traditional Arabic" w:cs="Traditional Arabic" w:hint="cs"/>
          <w:sz w:val="32"/>
          <w:szCs w:val="32"/>
          <w:rtl/>
          <w:lang w:bidi="ar-DZ"/>
        </w:rPr>
        <w:t xml:space="preserve"> </w:t>
      </w:r>
      <w:r w:rsidR="00757ED5" w:rsidRPr="00757ED5">
        <w:rPr>
          <w:rFonts w:ascii="Traditional Arabic" w:eastAsia="MingLiU-ExtB" w:hAnsi="Traditional Arabic" w:cs="Traditional Arabic"/>
          <w:sz w:val="32"/>
          <w:szCs w:val="32"/>
          <w:rtl/>
          <w:lang w:bidi="ar-DZ"/>
        </w:rPr>
        <w:t xml:space="preserve">بهذه الطريقة ستنتهي الترددات والشكوك حول ماهية السياسة التي يمكن اتباعها في الجزائر من جهة، ومن جهة أخرى ابداء حسن نيتنا والقضاء على سياسة المصادرات والتجميع التي تسعى اليها بعض الجهات في ادارتنا والتي جعلت من الأهالي يتمردون علينا لذلك فإن منحهم ملكية أراضيهم سيغير من نظرتهم للوجود الفرنسي في الجزائر </w:t>
      </w:r>
      <w:r w:rsidR="00757ED5" w:rsidRPr="00757ED5">
        <w:rPr>
          <w:rFonts w:ascii="Traditional Arabic" w:eastAsia="MingLiU-ExtB" w:hAnsi="Traditional Arabic" w:cs="Traditional Arabic"/>
          <w:sz w:val="32"/>
          <w:szCs w:val="32"/>
          <w:rtl/>
          <w:lang w:bidi="ar-DZ"/>
        </w:rPr>
        <w:lastRenderedPageBreak/>
        <w:t>على اعتبار أن الانسان لا يستطيع أن يبني إلا على أرض صلبة ولا يمكن أن يتحسن إلا على أمل جني ثمار تضحياته، لذلك أرى أن هذا هو الحل الأمثل.</w:t>
      </w:r>
      <w:r w:rsidR="00756138" w:rsidRPr="00757ED5">
        <w:rPr>
          <w:rFonts w:ascii="Traditional Arabic" w:eastAsia="MingLiU-ExtB" w:hAnsi="Traditional Arabic" w:cs="Traditional Arabic"/>
          <w:sz w:val="36"/>
          <w:szCs w:val="36"/>
          <w:vertAlign w:val="superscript"/>
          <w:rtl/>
          <w:lang w:bidi="ar-DZ"/>
        </w:rPr>
        <w:footnoteReference w:id="19"/>
      </w:r>
    </w:p>
    <w:p w:rsidR="00757ED5" w:rsidRPr="00EA6397" w:rsidRDefault="00757ED5" w:rsidP="00B61A3B">
      <w:pPr>
        <w:bidi/>
        <w:jc w:val="left"/>
        <w:rPr>
          <w:rFonts w:ascii="Traditional Arabic" w:eastAsia="MingLiU-ExtB" w:hAnsi="Traditional Arabic" w:cs="Traditional Arabic"/>
          <w:b/>
          <w:bCs/>
          <w:sz w:val="32"/>
          <w:szCs w:val="32"/>
          <w:rtl/>
          <w:lang w:bidi="ar-DZ"/>
        </w:rPr>
      </w:pPr>
      <w:r w:rsidRPr="00EA6397">
        <w:rPr>
          <w:rFonts w:ascii="Traditional Arabic" w:eastAsia="MingLiU-ExtB" w:hAnsi="Traditional Arabic" w:cs="Traditional Arabic" w:hint="cs"/>
          <w:b/>
          <w:bCs/>
          <w:sz w:val="32"/>
          <w:szCs w:val="32"/>
          <w:rtl/>
          <w:lang w:bidi="ar-DZ"/>
        </w:rPr>
        <w:t>ردود الفعل حول القانون:</w:t>
      </w:r>
    </w:p>
    <w:p w:rsidR="00495772" w:rsidRPr="00EA6397" w:rsidRDefault="00495772" w:rsidP="00B61A3B">
      <w:pPr>
        <w:bidi/>
        <w:jc w:val="left"/>
        <w:rPr>
          <w:rFonts w:ascii="Traditional Arabic" w:eastAsia="MingLiU-ExtB" w:hAnsi="Traditional Arabic" w:cs="Traditional Arabic"/>
          <w:b/>
          <w:bCs/>
          <w:sz w:val="32"/>
          <w:szCs w:val="32"/>
          <w:rtl/>
          <w:lang w:bidi="ar-DZ"/>
        </w:rPr>
      </w:pPr>
      <w:r w:rsidRPr="00EA6397">
        <w:rPr>
          <w:rFonts w:ascii="Traditional Arabic" w:eastAsia="MingLiU-ExtB" w:hAnsi="Traditional Arabic" w:cs="Traditional Arabic" w:hint="cs"/>
          <w:b/>
          <w:bCs/>
          <w:sz w:val="32"/>
          <w:szCs w:val="32"/>
          <w:rtl/>
          <w:lang w:bidi="ar-DZ"/>
        </w:rPr>
        <w:t>موقف المعمرين:</w:t>
      </w:r>
    </w:p>
    <w:p w:rsidR="00495A00" w:rsidRDefault="00644468" w:rsidP="00B61A3B">
      <w:pPr>
        <w:bidi/>
        <w:spacing w:after="120" w:line="264" w:lineRule="auto"/>
        <w:jc w:val="left"/>
        <w:rPr>
          <w:rFonts w:ascii="Traditional Arabic" w:eastAsiaTheme="minorEastAsia" w:hAnsi="Traditional Arabic" w:cs="Traditional Arabic"/>
          <w:sz w:val="32"/>
          <w:szCs w:val="32"/>
          <w:rtl/>
          <w:lang w:bidi="ar-DZ"/>
        </w:rPr>
      </w:pPr>
      <w:r w:rsidRPr="00644468">
        <w:rPr>
          <w:rFonts w:ascii="Traditional Arabic" w:eastAsiaTheme="minorEastAsia" w:hAnsi="Traditional Arabic" w:cs="Traditional Arabic"/>
          <w:sz w:val="32"/>
          <w:szCs w:val="32"/>
          <w:rtl/>
          <w:lang w:bidi="ar-DZ"/>
        </w:rPr>
        <w:t xml:space="preserve">تلقى مجلس الشيوخ حركة احتجاجية واسعة من قبل المعمرين مصحوبة باستياء وتذمر كبيرين بحجة غياب أي فصل أو فقرة تعتني بوضعهم في الجزائر وخوفا منهم على مصيرهم ومستقبلهم رأى البعض منهم بأن هذا المرسوم سيقطع الطريق أمامهم ومن بين من دافع عن موقف المعمرين الدكتور فارني </w:t>
      </w:r>
      <w:r w:rsidRPr="00644468">
        <w:rPr>
          <w:rFonts w:ascii="Traditional Arabic" w:eastAsiaTheme="minorEastAsia" w:hAnsi="Traditional Arabic" w:cs="Traditional Arabic"/>
          <w:sz w:val="32"/>
          <w:szCs w:val="32"/>
          <w:lang w:bidi="ar-DZ"/>
        </w:rPr>
        <w:t>Warnier</w:t>
      </w:r>
      <w:r w:rsidRPr="00644468">
        <w:rPr>
          <w:rFonts w:ascii="Traditional Arabic" w:eastAsiaTheme="minorEastAsia" w:hAnsi="Traditional Arabic" w:cs="Traditional Arabic"/>
          <w:sz w:val="32"/>
          <w:szCs w:val="32"/>
          <w:rtl/>
          <w:lang w:bidi="ar-DZ"/>
        </w:rPr>
        <w:t xml:space="preserve"> الذي انتقد هذا المرسوم واعتبره بمثابة ميثاق الملكية العربية وأنه سيفرض على ضباط المكاتب العربية عملا ضخما وجهدا إضافيا</w:t>
      </w:r>
      <w:r w:rsidR="00495A00" w:rsidRPr="00495A00">
        <w:rPr>
          <w:rFonts w:ascii="Traditional Arabic" w:eastAsiaTheme="minorEastAsia" w:hAnsi="Traditional Arabic" w:cs="Traditional Arabic" w:hint="cs"/>
          <w:sz w:val="32"/>
          <w:szCs w:val="32"/>
          <w:rtl/>
          <w:lang w:bidi="ar-DZ"/>
        </w:rPr>
        <w:t xml:space="preserve"> </w:t>
      </w:r>
      <w:r w:rsidR="00495A00">
        <w:rPr>
          <w:rFonts w:ascii="Traditional Arabic" w:eastAsiaTheme="minorEastAsia" w:hAnsi="Traditional Arabic" w:cs="Traditional Arabic" w:hint="cs"/>
          <w:sz w:val="32"/>
          <w:szCs w:val="32"/>
          <w:rtl/>
          <w:lang w:bidi="ar-DZ"/>
        </w:rPr>
        <w:t xml:space="preserve">ولم يخف الكولون مطالبهم وأمانيهم الواسعة فبقدر ما تلهفوا على الأرض انتقدوا حتى التركيبة العضوية في مجلس الشيوخ فرأوا أن غياب من يمثلهم في هذه الهيئة هو تهميش لهم ودعم للعسكريين، وفي هذا المضمار صرح المحامي أندريوا </w:t>
      </w:r>
      <w:r w:rsidR="00495A00">
        <w:rPr>
          <w:rFonts w:ascii="Traditional Arabic" w:eastAsiaTheme="minorEastAsia" w:hAnsi="Traditional Arabic" w:cs="Traditional Arabic"/>
          <w:sz w:val="32"/>
          <w:szCs w:val="32"/>
          <w:lang w:bidi="ar-DZ"/>
        </w:rPr>
        <w:t>Andrew</w:t>
      </w:r>
      <w:r w:rsidR="00495A00">
        <w:rPr>
          <w:rFonts w:ascii="Traditional Arabic" w:eastAsiaTheme="minorEastAsia" w:hAnsi="Traditional Arabic" w:cs="Traditional Arabic" w:hint="cs"/>
          <w:sz w:val="32"/>
          <w:szCs w:val="32"/>
          <w:rtl/>
          <w:lang w:bidi="ar-DZ"/>
        </w:rPr>
        <w:t xml:space="preserve"> في جريدة بريد الجزائر العدد الصادر يوم 10 جوان 1863</w:t>
      </w:r>
      <w:r w:rsidR="00495A00" w:rsidRPr="00495A00">
        <w:rPr>
          <w:rFonts w:ascii="Traditional Arabic" w:eastAsiaTheme="minorEastAsia" w:hAnsi="Traditional Arabic" w:cs="Traditional Arabic" w:hint="cs"/>
          <w:b/>
          <w:bCs/>
          <w:sz w:val="32"/>
          <w:szCs w:val="32"/>
          <w:rtl/>
          <w:lang w:bidi="ar-DZ"/>
        </w:rPr>
        <w:t>" ان غياب الحقوق السياسية والحرية بما في ذلك غياب مشاركة المواطنين في قضاياهم وانشغالاتهم كان الجرح العميق للمستعمر"</w:t>
      </w:r>
      <w:r w:rsidR="00495A00">
        <w:rPr>
          <w:rFonts w:ascii="Traditional Arabic" w:eastAsiaTheme="minorEastAsia" w:hAnsi="Traditional Arabic" w:cs="Traditional Arabic" w:hint="cs"/>
          <w:sz w:val="32"/>
          <w:szCs w:val="32"/>
          <w:rtl/>
          <w:lang w:bidi="ar-DZ"/>
        </w:rPr>
        <w:t xml:space="preserve"> </w:t>
      </w:r>
      <w:r w:rsidRPr="00644468">
        <w:rPr>
          <w:rFonts w:ascii="Traditional Arabic" w:eastAsiaTheme="minorEastAsia" w:hAnsi="Traditional Arabic" w:cs="Traditional Arabic"/>
          <w:sz w:val="32"/>
          <w:szCs w:val="32"/>
          <w:vertAlign w:val="superscript"/>
          <w:rtl/>
          <w:lang w:bidi="ar-DZ"/>
        </w:rPr>
        <w:footnoteReference w:id="20"/>
      </w:r>
      <w:r w:rsidRPr="00644468">
        <w:rPr>
          <w:rFonts w:ascii="Traditional Arabic" w:eastAsiaTheme="minorEastAsia" w:hAnsi="Traditional Arabic" w:cs="Traditional Arabic"/>
          <w:sz w:val="32"/>
          <w:szCs w:val="32"/>
          <w:rtl/>
          <w:lang w:bidi="ar-DZ"/>
        </w:rPr>
        <w:t xml:space="preserve">، كما اعتبروا ان هذه السياسة مناهضة للاستيطان وانها </w:t>
      </w:r>
      <w:r w:rsidR="00495772">
        <w:rPr>
          <w:rFonts w:ascii="Traditional Arabic" w:eastAsiaTheme="minorEastAsia" w:hAnsi="Traditional Arabic" w:cs="Traditional Arabic"/>
          <w:sz w:val="32"/>
          <w:szCs w:val="32"/>
          <w:rtl/>
          <w:lang w:bidi="ar-DZ"/>
        </w:rPr>
        <w:t>ستؤدي الى ميلاد القومية العربية</w:t>
      </w:r>
      <w:r w:rsidR="00ED42E3">
        <w:rPr>
          <w:rStyle w:val="Appelnotedebasdep"/>
          <w:rFonts w:ascii="Traditional Arabic" w:eastAsiaTheme="minorEastAsia" w:hAnsi="Traditional Arabic" w:cs="Traditional Arabic"/>
          <w:sz w:val="32"/>
          <w:szCs w:val="32"/>
          <w:rtl/>
          <w:lang w:bidi="ar-DZ"/>
        </w:rPr>
        <w:footnoteReference w:id="21"/>
      </w:r>
      <w:r w:rsidR="00495A00">
        <w:rPr>
          <w:rFonts w:ascii="Traditional Arabic" w:eastAsiaTheme="minorEastAsia" w:hAnsi="Traditional Arabic" w:cs="Traditional Arabic" w:hint="cs"/>
          <w:sz w:val="32"/>
          <w:szCs w:val="32"/>
          <w:rtl/>
          <w:lang w:bidi="ar-DZ"/>
        </w:rPr>
        <w:t>.</w:t>
      </w:r>
    </w:p>
    <w:p w:rsidR="00495A00" w:rsidRDefault="00495A00" w:rsidP="00B61A3B">
      <w:pPr>
        <w:bidi/>
        <w:spacing w:after="120" w:line="264" w:lineRule="auto"/>
        <w:jc w:val="left"/>
        <w:rPr>
          <w:rFonts w:ascii="Traditional Arabic" w:eastAsia="MingLiU-ExtB" w:hAnsi="Traditional Arabic" w:cs="Traditional Arabic"/>
          <w:sz w:val="32"/>
          <w:szCs w:val="32"/>
          <w:rtl/>
          <w:lang w:bidi="ar-DZ"/>
        </w:rPr>
      </w:pPr>
      <w:r w:rsidRPr="00495A00">
        <w:rPr>
          <w:rFonts w:ascii="Traditional Arabic" w:eastAsia="MingLiU-ExtB" w:hAnsi="Traditional Arabic" w:cs="Traditional Arabic"/>
          <w:sz w:val="32"/>
          <w:szCs w:val="32"/>
          <w:rtl/>
          <w:lang w:bidi="ar-DZ"/>
        </w:rPr>
        <w:t xml:space="preserve"> لذلك كان الامبراطور نابليون الثالث حريصا على الإسراع في تنفيذ هذا القانون، وبادر الى نشر تطبيقاته في الجريدة الرسمية مثل صحيفة المبشر، اذ لا يكاد يخلو عدد من اعداد المبشر في الفترة ما بين 1864/1870 من ذكر أسماء الأعراش التي طبق فيها القانون، وثم توزيع القبيلة الواحدة على ثلاثة أو أربعة دواوير وأصبحت كل وحدة جديدة تعرف انطلاقا من موقعها الجغرافي وتتكلف لجان في داخل كل قرية بخلق الملكيات الفردية وتنظيمها بين الأهالي، وهو ما نلمسه من مضمون المادة الثانية لهذا القانون والتي أعلنت عن توزيع أفراد القبيلة الواحدة بين </w:t>
      </w:r>
      <w:r w:rsidRPr="00495A00">
        <w:rPr>
          <w:rFonts w:ascii="Traditional Arabic" w:eastAsia="MingLiU-ExtB" w:hAnsi="Traditional Arabic" w:cs="Traditional Arabic"/>
          <w:sz w:val="32"/>
          <w:szCs w:val="32"/>
          <w:rtl/>
          <w:lang w:bidi="ar-DZ"/>
        </w:rPr>
        <w:lastRenderedPageBreak/>
        <w:t>مختلف الدواوير التي تنتمي اليها القبيلة في التل أو بمعنى آخر تعويض الوحدة التقليدية للقبيلة بنظام إداري جديد نواته الدوار وليس القبيلة الواحدة على ثلاثة أو أربع دواوير، وتتكلف لجان داخل كل خلق الملكيات الفردية وتنظيمها بين الأهالي القرية وأولت السلطات الاستعمارية الفرنسية، أهمية كبيرة من أجل تطبيقات هذا المرسوم بالصرامة الشديدة مع القبائل التي قد تتأخر في عملية تسجيل ممتلكاتها لأجل إتمام عمليات التحديد والتقسيم وأعطيت لها مدة شهرين لإتمام العملية، وقد تم في نهاية 1870 توزيع 372 قبيلة على 667 دوار مع فقدان اسم القبيلة الأم.</w:t>
      </w:r>
      <w:r>
        <w:rPr>
          <w:rStyle w:val="Appelnotedebasdep"/>
          <w:rFonts w:ascii="Traditional Arabic" w:eastAsia="MingLiU-ExtB" w:hAnsi="Traditional Arabic" w:cs="Traditional Arabic"/>
          <w:sz w:val="32"/>
          <w:szCs w:val="32"/>
          <w:rtl/>
          <w:lang w:bidi="ar-DZ"/>
        </w:rPr>
        <w:footnoteReference w:id="22"/>
      </w:r>
    </w:p>
    <w:p w:rsidR="00C021A8" w:rsidRPr="003F611F" w:rsidRDefault="00C021A8" w:rsidP="00B61A3B">
      <w:pPr>
        <w:tabs>
          <w:tab w:val="left" w:pos="7586"/>
        </w:tabs>
        <w:bidi/>
        <w:jc w:val="left"/>
        <w:rPr>
          <w:rFonts w:ascii="Simplified Arabic" w:eastAsia="MingLiU-ExtB" w:hAnsi="Simplified Arabic" w:cs="Simplified Arabic"/>
          <w:sz w:val="30"/>
          <w:szCs w:val="30"/>
          <w:lang w:bidi="ar-DZ"/>
        </w:rPr>
      </w:pPr>
      <w:r>
        <w:rPr>
          <w:rFonts w:ascii="Traditional Arabic" w:eastAsia="MingLiU-ExtB" w:hAnsi="Traditional Arabic" w:cs="Traditional Arabic" w:hint="cs"/>
          <w:sz w:val="32"/>
          <w:szCs w:val="32"/>
          <w:rtl/>
          <w:lang w:bidi="ar-DZ"/>
        </w:rPr>
        <w:t>كما أمر</w:t>
      </w:r>
      <w:r w:rsidR="00545713">
        <w:rPr>
          <w:rFonts w:ascii="Traditional Arabic" w:eastAsia="MingLiU-ExtB" w:hAnsi="Traditional Arabic" w:cs="Traditional Arabic" w:hint="cs"/>
          <w:sz w:val="32"/>
          <w:szCs w:val="32"/>
          <w:rtl/>
          <w:lang w:bidi="ar-DZ"/>
        </w:rPr>
        <w:t xml:space="preserve"> الامبراطور </w:t>
      </w:r>
      <w:r>
        <w:rPr>
          <w:rFonts w:ascii="Traditional Arabic" w:eastAsia="MingLiU-ExtB" w:hAnsi="Traditional Arabic" w:cs="Traditional Arabic" w:hint="cs"/>
          <w:sz w:val="32"/>
          <w:szCs w:val="32"/>
          <w:rtl/>
          <w:lang w:bidi="ar-DZ"/>
        </w:rPr>
        <w:t xml:space="preserve"> الجنرال راندون بضرورة الإسراع في تطبيق هذا القانون حيث جاء في تعليماته ما</w:t>
      </w:r>
      <w:r w:rsidR="003F611F">
        <w:rPr>
          <w:rFonts w:ascii="Traditional Arabic" w:eastAsia="MingLiU-ExtB" w:hAnsi="Traditional Arabic" w:cs="Traditional Arabic" w:hint="cs"/>
          <w:sz w:val="32"/>
          <w:szCs w:val="32"/>
          <w:rtl/>
          <w:lang w:bidi="ar-DZ"/>
        </w:rPr>
        <w:t xml:space="preserve"> </w:t>
      </w:r>
      <w:r>
        <w:rPr>
          <w:rFonts w:ascii="Traditional Arabic" w:eastAsia="MingLiU-ExtB" w:hAnsi="Traditional Arabic" w:cs="Traditional Arabic" w:hint="cs"/>
          <w:sz w:val="32"/>
          <w:szCs w:val="32"/>
          <w:rtl/>
          <w:lang w:bidi="ar-DZ"/>
        </w:rPr>
        <w:t>يلي:</w:t>
      </w:r>
      <w:r w:rsidR="003F611F">
        <w:rPr>
          <w:rFonts w:ascii="Traditional Arabic" w:eastAsia="MingLiU-ExtB" w:hAnsi="Traditional Arabic" w:cs="Traditional Arabic" w:hint="cs"/>
          <w:sz w:val="32"/>
          <w:szCs w:val="32"/>
          <w:rtl/>
          <w:lang w:bidi="ar-DZ"/>
        </w:rPr>
        <w:t xml:space="preserve"> </w:t>
      </w:r>
      <w:r w:rsidR="003F611F" w:rsidRPr="009D727F">
        <w:rPr>
          <w:rFonts w:ascii="Simplified Arabic" w:eastAsia="MingLiU-ExtB" w:hAnsi="Simplified Arabic" w:cs="Simplified Arabic"/>
          <w:sz w:val="30"/>
          <w:szCs w:val="30"/>
          <w:rtl/>
          <w:lang w:bidi="ar-DZ"/>
        </w:rPr>
        <w:t xml:space="preserve">" </w:t>
      </w:r>
      <w:r w:rsidR="003F611F" w:rsidRPr="003F611F">
        <w:rPr>
          <w:rFonts w:ascii="Traditional Arabic" w:eastAsia="MingLiU-ExtB" w:hAnsi="Traditional Arabic" w:cs="Traditional Arabic"/>
          <w:b/>
          <w:bCs/>
          <w:sz w:val="32"/>
          <w:szCs w:val="32"/>
          <w:rtl/>
          <w:lang w:bidi="ar-DZ"/>
        </w:rPr>
        <w:t>ان ما يدعو اليه المستوطنون في الجزائر يقتضي ابعاد السكان الأهالي الى الصحراء أو أن نفعل بهم مثل ما فعل بالهنود في أمريكا الشمالية، الا أن هذه الفكرة غير إنسانية ويستحيل تطبيقها في الجزائر لأن المعطيات تغيرت، فلذلك لابد من المزج بين هذا العرق الذكي (يقصد الفرنسيين) مع العرق المزارع (الأهالي) وستنجح العلاقات اليومية الى حضارتنا أكثر بكثير مما تفعله التدابير القسرية، كما علينا تطوير التعليم وتحقيق الرفاه المادي من خلال الأشغال العامة.....فهكذا سيد الماريشال هو الطريق الذي يجب اتباعه بحزم لأني أكرر أن الجزائر ليست مستعمرة بالمعنى الصحيح، لكنها مملكة عربية يتمتع السكان الأصليون مثل المستعمرين بحق متساو في حمايتي وأنا امبراطور العرب وامبراطور الفرنسين"</w:t>
      </w:r>
      <w:r w:rsidR="00D7214E">
        <w:rPr>
          <w:rStyle w:val="Appelnotedebasdep"/>
          <w:rFonts w:ascii="Traditional Arabic" w:eastAsia="MingLiU-ExtB" w:hAnsi="Traditional Arabic" w:cs="Traditional Arabic"/>
          <w:b/>
          <w:bCs/>
          <w:sz w:val="32"/>
          <w:szCs w:val="32"/>
          <w:rtl/>
          <w:lang w:bidi="ar-DZ"/>
        </w:rPr>
        <w:footnoteReference w:id="23"/>
      </w:r>
    </w:p>
    <w:p w:rsidR="00CC67B5" w:rsidRPr="00EA6397" w:rsidRDefault="00AC5BC6" w:rsidP="00B61A3B">
      <w:pPr>
        <w:bidi/>
        <w:spacing w:after="120" w:line="264" w:lineRule="auto"/>
        <w:jc w:val="left"/>
        <w:rPr>
          <w:rFonts w:ascii="Traditional Arabic" w:eastAsia="MingLiU-ExtB" w:hAnsi="Traditional Arabic" w:cs="Traditional Arabic"/>
          <w:b/>
          <w:bCs/>
          <w:sz w:val="30"/>
          <w:szCs w:val="30"/>
          <w:rtl/>
          <w:lang w:bidi="ar-DZ"/>
        </w:rPr>
      </w:pPr>
      <w:r w:rsidRPr="00EA6397">
        <w:rPr>
          <w:rFonts w:ascii="Traditional Arabic" w:eastAsia="MingLiU-ExtB" w:hAnsi="Traditional Arabic" w:cs="Traditional Arabic" w:hint="cs"/>
          <w:b/>
          <w:bCs/>
          <w:sz w:val="30"/>
          <w:szCs w:val="30"/>
          <w:rtl/>
          <w:lang w:bidi="ar-DZ"/>
        </w:rPr>
        <w:t>موقف الأهالي:</w:t>
      </w:r>
    </w:p>
    <w:p w:rsidR="00AC5BC6" w:rsidRDefault="00AC5BC6" w:rsidP="00B61A3B">
      <w:pPr>
        <w:bidi/>
        <w:spacing w:after="120" w:line="264" w:lineRule="auto"/>
        <w:jc w:val="left"/>
        <w:rPr>
          <w:rFonts w:ascii="Traditional Arabic" w:eastAsia="MingLiU-ExtB" w:hAnsi="Traditional Arabic" w:cs="Traditional Arabic"/>
          <w:sz w:val="32"/>
          <w:szCs w:val="32"/>
          <w:lang w:bidi="ar-DZ"/>
        </w:rPr>
      </w:pPr>
      <w:r>
        <w:rPr>
          <w:rFonts w:ascii="Traditional Arabic" w:eastAsia="MingLiU-ExtB" w:hAnsi="Traditional Arabic" w:cs="Traditional Arabic" w:hint="cs"/>
          <w:sz w:val="30"/>
          <w:szCs w:val="30"/>
          <w:rtl/>
          <w:lang w:bidi="ar-DZ"/>
        </w:rPr>
        <w:t xml:space="preserve">لم يكن موقف الأهالي واضحا في ستينيات القرن التاسع عشر، لكن خلال فترة الجمهورية الفرنسية الثالثة بدأت العزائم تتحرك بظهور ارهاصات النهضة فظهرت عدة عرائض ومراسلات كشفت عن المواقف الصريحة لأعيان الجزائر من مسألة الأرض في الكثير </w:t>
      </w:r>
      <w:r w:rsidR="00BD289A">
        <w:rPr>
          <w:rFonts w:ascii="Traditional Arabic" w:eastAsia="MingLiU-ExtB" w:hAnsi="Traditional Arabic" w:cs="Traditional Arabic" w:hint="cs"/>
          <w:sz w:val="30"/>
          <w:szCs w:val="30"/>
          <w:rtl/>
          <w:lang w:bidi="ar-DZ"/>
        </w:rPr>
        <w:t>من المناسبات، من بينها رسالة بعث بها شيخ قبيلة الى عضو في البرلمان الفرنس</w:t>
      </w:r>
      <w:r w:rsidR="00BD289A">
        <w:rPr>
          <w:rFonts w:ascii="Traditional Arabic" w:eastAsia="MingLiU-ExtB" w:hAnsi="Traditional Arabic" w:cs="Traditional Arabic"/>
          <w:sz w:val="30"/>
          <w:szCs w:val="30"/>
          <w:rtl/>
          <w:lang w:bidi="ar-DZ"/>
        </w:rPr>
        <w:t>ي</w:t>
      </w:r>
      <w:r w:rsidR="00BD289A">
        <w:rPr>
          <w:rFonts w:ascii="Traditional Arabic" w:eastAsia="MingLiU-ExtB" w:hAnsi="Traditional Arabic" w:cs="Traditional Arabic" w:hint="cs"/>
          <w:sz w:val="30"/>
          <w:szCs w:val="30"/>
          <w:rtl/>
          <w:lang w:bidi="ar-DZ"/>
        </w:rPr>
        <w:t xml:space="preserve"> مما جاء فيها ما يلي: </w:t>
      </w:r>
      <w:r w:rsidR="00BD289A" w:rsidRPr="00BD289A">
        <w:rPr>
          <w:rFonts w:ascii="Traditional Arabic" w:eastAsia="MingLiU-ExtB" w:hAnsi="Traditional Arabic" w:cs="Traditional Arabic" w:hint="cs"/>
          <w:b/>
          <w:bCs/>
          <w:sz w:val="30"/>
          <w:szCs w:val="30"/>
          <w:rtl/>
          <w:lang w:bidi="ar-DZ"/>
        </w:rPr>
        <w:t>"اننا منذ قرون نملك ونشغل أراضي الجزائر كلها، وعندما احتليتم بلادنا وعدتمونا باحترام أملاكنا وبعدما وضعتم أيديكم على أراضي البايلك وضعتم عليها معمرين أوروبيين وعندما زاد عدد هؤلاء عمدتم الى تنصيبهم على الأراضي التي كان لنا حق استغلالها والانتفاع بها"</w:t>
      </w:r>
      <w:r w:rsidR="00BB65CD">
        <w:rPr>
          <w:rStyle w:val="Appelnotedebasdep"/>
          <w:rFonts w:ascii="Traditional Arabic" w:eastAsia="MingLiU-ExtB" w:hAnsi="Traditional Arabic" w:cs="Traditional Arabic"/>
          <w:b/>
          <w:bCs/>
          <w:sz w:val="30"/>
          <w:szCs w:val="30"/>
          <w:rtl/>
          <w:lang w:bidi="ar-DZ"/>
        </w:rPr>
        <w:footnoteReference w:id="24"/>
      </w:r>
      <w:r w:rsidR="00CA72A6">
        <w:rPr>
          <w:rFonts w:ascii="Traditional Arabic" w:eastAsia="MingLiU-ExtB" w:hAnsi="Traditional Arabic" w:cs="Traditional Arabic" w:hint="cs"/>
          <w:b/>
          <w:bCs/>
          <w:sz w:val="30"/>
          <w:szCs w:val="30"/>
          <w:rtl/>
          <w:lang w:bidi="ar-DZ"/>
        </w:rPr>
        <w:t xml:space="preserve">، </w:t>
      </w:r>
      <w:r w:rsidR="00CA72A6">
        <w:rPr>
          <w:rFonts w:ascii="Traditional Arabic" w:eastAsia="MingLiU-ExtB" w:hAnsi="Traditional Arabic" w:cs="Traditional Arabic" w:hint="cs"/>
          <w:sz w:val="30"/>
          <w:szCs w:val="30"/>
          <w:rtl/>
          <w:lang w:bidi="ar-DZ"/>
        </w:rPr>
        <w:t xml:space="preserve">لكن لم تهتم الإدارة الوصية في الجزائر بمطالب الأهالي حيث </w:t>
      </w:r>
      <w:r w:rsidR="00CA72A6">
        <w:rPr>
          <w:rFonts w:ascii="Traditional Arabic" w:eastAsia="MingLiU-ExtB" w:hAnsi="Traditional Arabic" w:cs="Traditional Arabic" w:hint="cs"/>
          <w:sz w:val="30"/>
          <w:szCs w:val="30"/>
          <w:rtl/>
          <w:lang w:bidi="ar-DZ"/>
        </w:rPr>
        <w:lastRenderedPageBreak/>
        <w:t xml:space="preserve">اعتبرت </w:t>
      </w:r>
      <w:r w:rsidR="00CA72A6">
        <w:rPr>
          <w:rFonts w:ascii="Simplified Arabic" w:eastAsia="MingLiU-ExtB" w:hAnsi="Simplified Arabic" w:cs="Simplified Arabic" w:hint="cs"/>
          <w:sz w:val="30"/>
          <w:szCs w:val="30"/>
          <w:rtl/>
          <w:lang w:bidi="ar-DZ"/>
        </w:rPr>
        <w:t xml:space="preserve"> </w:t>
      </w:r>
      <w:r w:rsidR="00CA72A6" w:rsidRPr="002A1634">
        <w:rPr>
          <w:rFonts w:ascii="Traditional Arabic" w:eastAsia="MingLiU-ExtB" w:hAnsi="Traditional Arabic" w:cs="Traditional Arabic"/>
          <w:sz w:val="32"/>
          <w:szCs w:val="32"/>
          <w:rtl/>
          <w:lang w:bidi="ar-DZ"/>
        </w:rPr>
        <w:t>أن حيازتها  للجزائر مشروعة وغير قابلة للنقض وأنها وصلت الى نقطة عدم المناقشة أو مناقشة المزيد حول حق امتلاكها للجزائر، لذلك لا ت</w:t>
      </w:r>
      <w:r w:rsidR="00D5518C" w:rsidRPr="002A1634">
        <w:rPr>
          <w:rFonts w:ascii="Traditional Arabic" w:eastAsia="MingLiU-ExtB" w:hAnsi="Traditional Arabic" w:cs="Traditional Arabic"/>
          <w:sz w:val="32"/>
          <w:szCs w:val="32"/>
          <w:rtl/>
          <w:lang w:bidi="ar-DZ"/>
        </w:rPr>
        <w:t>بدو هناك فائدة من هذه المناقشات</w:t>
      </w:r>
      <w:r w:rsidR="00CA72A6" w:rsidRPr="002A1634">
        <w:rPr>
          <w:rStyle w:val="Appelnotedebasdep"/>
          <w:rFonts w:ascii="Traditional Arabic" w:eastAsia="MingLiU-ExtB" w:hAnsi="Traditional Arabic" w:cs="Traditional Arabic"/>
          <w:sz w:val="32"/>
          <w:szCs w:val="32"/>
          <w:rtl/>
          <w:lang w:bidi="ar-DZ"/>
        </w:rPr>
        <w:footnoteReference w:id="25"/>
      </w:r>
      <w:r w:rsidR="00CA72A6" w:rsidRPr="002A1634">
        <w:rPr>
          <w:rFonts w:ascii="Traditional Arabic" w:eastAsia="MingLiU-ExtB" w:hAnsi="Traditional Arabic" w:cs="Traditional Arabic"/>
          <w:sz w:val="32"/>
          <w:szCs w:val="32"/>
          <w:lang w:bidi="ar-DZ"/>
        </w:rPr>
        <w:t>.</w:t>
      </w:r>
    </w:p>
    <w:p w:rsidR="004536E9" w:rsidRPr="004536E9" w:rsidRDefault="004536E9" w:rsidP="00B61A3B">
      <w:pPr>
        <w:bidi/>
        <w:spacing w:after="120" w:line="264" w:lineRule="auto"/>
        <w:jc w:val="left"/>
        <w:rPr>
          <w:rFonts w:ascii="Traditional Arabic" w:eastAsia="MingLiU-ExtB" w:hAnsi="Traditional Arabic" w:cs="Traditional Arabic"/>
          <w:sz w:val="32"/>
          <w:szCs w:val="32"/>
          <w:rtl/>
          <w:lang w:bidi="ar-DZ"/>
        </w:rPr>
      </w:pPr>
      <w:r>
        <w:rPr>
          <w:rFonts w:ascii="Traditional Arabic" w:eastAsia="MingLiU-ExtB" w:hAnsi="Traditional Arabic" w:cs="Traditional Arabic" w:hint="cs"/>
          <w:sz w:val="32"/>
          <w:szCs w:val="32"/>
          <w:rtl/>
          <w:lang w:bidi="ar-DZ"/>
        </w:rPr>
        <w:t xml:space="preserve">ورغم عديد الشكاوى والاحتجاجات التي قدمها الأهالي الذين حالوا اثبات حقوقهم في الملكية بواسطة تقديم الوثائق الثبوتية التي ترجمت الى اللغة الفرنسية ووقعها القضاة وشهد على محتواها الشهود وشيوخ الأعراش، الا أن السلطات الاستعمارية قد ضربت عرض الحائط بهذه الوثائق وكانت في كل مرة تتذرع بحجج واهية </w:t>
      </w:r>
      <w:r w:rsidR="005F3783">
        <w:rPr>
          <w:rFonts w:ascii="Traditional Arabic" w:eastAsia="MingLiU-ExtB" w:hAnsi="Traditional Arabic" w:cs="Traditional Arabic" w:hint="cs"/>
          <w:sz w:val="32"/>
          <w:szCs w:val="32"/>
          <w:rtl/>
          <w:lang w:bidi="ar-DZ"/>
        </w:rPr>
        <w:t>منها أن محتواها غير واضح أو أنها ممزقة أو أنها لا تحتوي على تحديد دقيق للأرض محل النزاع</w:t>
      </w:r>
      <w:r w:rsidR="00794B80">
        <w:rPr>
          <w:rFonts w:ascii="Traditional Arabic" w:eastAsia="MingLiU-ExtB" w:hAnsi="Traditional Arabic" w:cs="Traditional Arabic" w:hint="cs"/>
          <w:sz w:val="32"/>
          <w:szCs w:val="32"/>
          <w:rtl/>
          <w:lang w:bidi="ar-DZ"/>
        </w:rPr>
        <w:t xml:space="preserve"> وغيرها من الحجج التي تفند ادعاءات الجزائريين في امتلاكهم للأرض.</w:t>
      </w:r>
      <w:r w:rsidR="00794B80">
        <w:rPr>
          <w:rStyle w:val="Appelnotedebasdep"/>
          <w:rFonts w:ascii="Traditional Arabic" w:eastAsia="MingLiU-ExtB" w:hAnsi="Traditional Arabic" w:cs="Traditional Arabic"/>
          <w:sz w:val="32"/>
          <w:szCs w:val="32"/>
          <w:rtl/>
          <w:lang w:bidi="ar-DZ"/>
        </w:rPr>
        <w:footnoteReference w:id="26"/>
      </w:r>
      <w:r w:rsidR="005F3783">
        <w:rPr>
          <w:rFonts w:ascii="Traditional Arabic" w:eastAsia="MingLiU-ExtB" w:hAnsi="Traditional Arabic" w:cs="Traditional Arabic" w:hint="cs"/>
          <w:sz w:val="32"/>
          <w:szCs w:val="32"/>
          <w:rtl/>
          <w:lang w:bidi="ar-DZ"/>
        </w:rPr>
        <w:t xml:space="preserve">  </w:t>
      </w:r>
    </w:p>
    <w:p w:rsidR="00D550BF" w:rsidRPr="00EA6397" w:rsidRDefault="00495772" w:rsidP="00B61A3B">
      <w:pPr>
        <w:bidi/>
        <w:spacing w:after="120" w:line="264" w:lineRule="auto"/>
        <w:jc w:val="left"/>
        <w:rPr>
          <w:rFonts w:ascii="Traditional Arabic" w:eastAsiaTheme="minorEastAsia" w:hAnsi="Traditional Arabic" w:cs="Traditional Arabic"/>
          <w:b/>
          <w:bCs/>
          <w:sz w:val="32"/>
          <w:szCs w:val="32"/>
          <w:rtl/>
          <w:lang w:bidi="ar-DZ"/>
        </w:rPr>
      </w:pPr>
      <w:r>
        <w:rPr>
          <w:rFonts w:ascii="Traditional Arabic" w:eastAsiaTheme="minorEastAsia" w:hAnsi="Traditional Arabic" w:cs="Traditional Arabic" w:hint="cs"/>
          <w:sz w:val="32"/>
          <w:szCs w:val="32"/>
          <w:rtl/>
          <w:lang w:bidi="ar-DZ"/>
        </w:rPr>
        <w:t xml:space="preserve"> </w:t>
      </w:r>
      <w:r w:rsidR="00366BCE" w:rsidRPr="00EA6397">
        <w:rPr>
          <w:rFonts w:ascii="Traditional Arabic" w:eastAsiaTheme="minorEastAsia" w:hAnsi="Traditional Arabic" w:cs="Traditional Arabic" w:hint="cs"/>
          <w:b/>
          <w:bCs/>
          <w:sz w:val="32"/>
          <w:szCs w:val="32"/>
          <w:rtl/>
          <w:lang w:bidi="ar-DZ"/>
        </w:rPr>
        <w:t xml:space="preserve">آثار </w:t>
      </w:r>
      <w:r w:rsidR="00EA6397">
        <w:rPr>
          <w:rFonts w:ascii="Traditional Arabic" w:eastAsiaTheme="minorEastAsia" w:hAnsi="Traditional Arabic" w:cs="Traditional Arabic" w:hint="cs"/>
          <w:b/>
          <w:bCs/>
          <w:sz w:val="32"/>
          <w:szCs w:val="32"/>
          <w:rtl/>
          <w:lang w:bidi="ar-DZ"/>
        </w:rPr>
        <w:t xml:space="preserve"> وانعكاسا</w:t>
      </w:r>
      <w:r w:rsidR="00EA6397">
        <w:rPr>
          <w:rFonts w:ascii="Traditional Arabic" w:eastAsiaTheme="minorEastAsia" w:hAnsi="Traditional Arabic" w:cs="Traditional Arabic" w:hint="eastAsia"/>
          <w:b/>
          <w:bCs/>
          <w:sz w:val="32"/>
          <w:szCs w:val="32"/>
          <w:rtl/>
          <w:lang w:bidi="ar-DZ"/>
        </w:rPr>
        <w:t>ت</w:t>
      </w:r>
      <w:r w:rsidR="00EA6397">
        <w:rPr>
          <w:rFonts w:ascii="Traditional Arabic" w:eastAsiaTheme="minorEastAsia" w:hAnsi="Traditional Arabic" w:cs="Traditional Arabic" w:hint="cs"/>
          <w:b/>
          <w:bCs/>
          <w:sz w:val="32"/>
          <w:szCs w:val="32"/>
          <w:rtl/>
          <w:lang w:bidi="ar-DZ"/>
        </w:rPr>
        <w:t xml:space="preserve"> </w:t>
      </w:r>
      <w:r w:rsidR="00366BCE" w:rsidRPr="00EA6397">
        <w:rPr>
          <w:rFonts w:ascii="Traditional Arabic" w:eastAsiaTheme="minorEastAsia" w:hAnsi="Traditional Arabic" w:cs="Traditional Arabic" w:hint="cs"/>
          <w:b/>
          <w:bCs/>
          <w:sz w:val="32"/>
          <w:szCs w:val="32"/>
          <w:rtl/>
          <w:lang w:bidi="ar-DZ"/>
        </w:rPr>
        <w:t>تطبيق القانون على القبائل الأهلية الجزائرية</w:t>
      </w:r>
      <w:r w:rsidR="002A1634" w:rsidRPr="00EA6397">
        <w:rPr>
          <w:rFonts w:ascii="Traditional Arabic" w:eastAsiaTheme="minorEastAsia" w:hAnsi="Traditional Arabic" w:cs="Traditional Arabic" w:hint="cs"/>
          <w:b/>
          <w:bCs/>
          <w:sz w:val="32"/>
          <w:szCs w:val="32"/>
          <w:rtl/>
          <w:lang w:bidi="ar-DZ"/>
        </w:rPr>
        <w:t>:</w:t>
      </w:r>
    </w:p>
    <w:p w:rsidR="002A1634" w:rsidRDefault="002A1634" w:rsidP="00B61A3B">
      <w:pPr>
        <w:bidi/>
        <w:spacing w:after="120" w:line="264" w:lineRule="auto"/>
        <w:jc w:val="left"/>
        <w:rPr>
          <w:rFonts w:ascii="Traditional Arabic" w:eastAsia="MingLiU-ExtB" w:hAnsi="Traditional Arabic" w:cs="Traditional Arabic"/>
          <w:sz w:val="32"/>
          <w:szCs w:val="32"/>
          <w:rtl/>
          <w:lang w:bidi="ar-DZ"/>
        </w:rPr>
      </w:pPr>
      <w:r w:rsidRPr="0077325E">
        <w:rPr>
          <w:rFonts w:ascii="Traditional Arabic" w:eastAsia="MingLiU-ExtB" w:hAnsi="Traditional Arabic" w:cs="Traditional Arabic"/>
          <w:sz w:val="32"/>
          <w:szCs w:val="32"/>
          <w:rtl/>
          <w:lang w:bidi="ar-DZ"/>
        </w:rPr>
        <w:t xml:space="preserve">خلال الست </w:t>
      </w:r>
      <w:r w:rsidR="0077325E" w:rsidRPr="0077325E">
        <w:rPr>
          <w:rFonts w:ascii="Traditional Arabic" w:eastAsia="MingLiU-ExtB" w:hAnsi="Traditional Arabic" w:cs="Traditional Arabic"/>
          <w:sz w:val="32"/>
          <w:szCs w:val="32"/>
          <w:rtl/>
          <w:lang w:bidi="ar-DZ"/>
        </w:rPr>
        <w:t>الخمس</w:t>
      </w:r>
      <w:r w:rsidRPr="0077325E">
        <w:rPr>
          <w:rFonts w:ascii="Traditional Arabic" w:eastAsia="MingLiU-ExtB" w:hAnsi="Traditional Arabic" w:cs="Traditional Arabic"/>
          <w:sz w:val="32"/>
          <w:szCs w:val="32"/>
          <w:rtl/>
          <w:lang w:bidi="ar-DZ"/>
        </w:rPr>
        <w:t xml:space="preserve"> الأولى أسفرت لجان التجميع التي عملت في المقاطعات الثلاث على احتلال 343.387 ألف هكتار من خلال تجميع ستة عشر قبيلة 16، ثم تم تقليص هذه الأراضي الى 282.024 ألف هكتار، مما ترك ما متوسطه 5 هكتارات للفرد الواحد و25 هكتار لكل أسرة، ما جعل الجزائريين يتنافسون مع الأوروبيين في شراء هذه الأراضي التي استحوذت عليها الدولة، أما اللذين لا يستطيعون الشراء فقد اختاروا العمل كمزارعين عند الأوربيين كحل أخير للبقاء في مورد رزقهم</w:t>
      </w:r>
      <w:r w:rsidR="008129FA" w:rsidRPr="0077325E">
        <w:rPr>
          <w:rStyle w:val="Appelnotedebasdep"/>
          <w:rFonts w:ascii="Traditional Arabic" w:eastAsia="MingLiU-ExtB" w:hAnsi="Traditional Arabic" w:cs="Traditional Arabic"/>
          <w:sz w:val="32"/>
          <w:szCs w:val="32"/>
          <w:rtl/>
          <w:lang w:bidi="ar-DZ"/>
        </w:rPr>
        <w:footnoteReference w:id="27"/>
      </w:r>
      <w:r w:rsidRPr="0077325E">
        <w:rPr>
          <w:rFonts w:ascii="Traditional Arabic" w:eastAsia="MingLiU-ExtB" w:hAnsi="Traditional Arabic" w:cs="Traditional Arabic"/>
          <w:sz w:val="32"/>
          <w:szCs w:val="32"/>
          <w:rtl/>
          <w:lang w:bidi="ar-DZ"/>
        </w:rPr>
        <w:t>،</w:t>
      </w:r>
      <w:r w:rsidR="0077325E">
        <w:rPr>
          <w:rFonts w:ascii="Traditional Arabic" w:eastAsia="MingLiU-ExtB" w:hAnsi="Traditional Arabic" w:cs="Traditional Arabic" w:hint="cs"/>
          <w:sz w:val="32"/>
          <w:szCs w:val="32"/>
          <w:rtl/>
          <w:lang w:bidi="ar-DZ"/>
        </w:rPr>
        <w:t xml:space="preserve"> وحتى ديسمبر 1870 مس هذا القانون 402 قبيلة تشغل مساحة قدرها 6.973.469 هكتار  حسب الاحصائيات الرسمية الفرنسية في حين ذكر ايميل لارشي </w:t>
      </w:r>
      <w:r w:rsidR="0077325E">
        <w:rPr>
          <w:rFonts w:ascii="Traditional Arabic" w:eastAsia="MingLiU-ExtB" w:hAnsi="Traditional Arabic" w:cs="Traditional Arabic"/>
          <w:sz w:val="32"/>
          <w:szCs w:val="32"/>
          <w:lang w:bidi="ar-DZ"/>
        </w:rPr>
        <w:t xml:space="preserve"> Larcher</w:t>
      </w:r>
      <w:r w:rsidR="0077325E">
        <w:rPr>
          <w:rFonts w:ascii="Traditional Arabic" w:eastAsia="MingLiU-ExtB" w:hAnsi="Traditional Arabic" w:cs="Traditional Arabic" w:hint="cs"/>
          <w:sz w:val="32"/>
          <w:szCs w:val="32"/>
          <w:rtl/>
          <w:lang w:bidi="ar-DZ"/>
        </w:rPr>
        <w:t xml:space="preserve"> انه تم تحديد مساحة قدرها 6.883.811</w:t>
      </w:r>
      <w:r w:rsidR="00E2396E">
        <w:rPr>
          <w:rFonts w:ascii="Traditional Arabic" w:eastAsia="MingLiU-ExtB" w:hAnsi="Traditional Arabic" w:cs="Traditional Arabic" w:hint="cs"/>
          <w:sz w:val="32"/>
          <w:szCs w:val="32"/>
          <w:rtl/>
          <w:lang w:bidi="ar-DZ"/>
        </w:rPr>
        <w:t xml:space="preserve"> هكتار تضم 372 قبيلة يسكنها 1.037.066 نسمة تم تقسيمها </w:t>
      </w:r>
      <w:r w:rsidR="00C83BA5">
        <w:rPr>
          <w:rFonts w:ascii="Traditional Arabic" w:eastAsia="MingLiU-ExtB" w:hAnsi="Traditional Arabic" w:cs="Traditional Arabic" w:hint="cs"/>
          <w:sz w:val="32"/>
          <w:szCs w:val="32"/>
          <w:rtl/>
          <w:lang w:bidi="ar-DZ"/>
        </w:rPr>
        <w:t xml:space="preserve">الى 667 دوار، وقد تم تصنيف هذه الأراضي على النحو التالي 2.840.591 هكتار ضمن فئة الملكية و 1.523.013 هكتار ضمن فئة أراضي الأعراش و 1.336.492 هكتار صنفت أراضي بلدية </w:t>
      </w:r>
      <w:r w:rsidR="00302076">
        <w:rPr>
          <w:rFonts w:ascii="Traditional Arabic" w:eastAsia="MingLiU-ExtB" w:hAnsi="Traditional Arabic" w:cs="Traditional Arabic" w:hint="cs"/>
          <w:sz w:val="32"/>
          <w:szCs w:val="32"/>
          <w:rtl/>
          <w:lang w:bidi="ar-DZ"/>
        </w:rPr>
        <w:t xml:space="preserve">180.643 هكتار صنفت ضمن أملاك الدولة، </w:t>
      </w:r>
      <w:r w:rsidR="00272D8E">
        <w:rPr>
          <w:rFonts w:ascii="Traditional Arabic" w:eastAsia="MingLiU-ExtB" w:hAnsi="Traditional Arabic" w:cs="Traditional Arabic" w:hint="cs"/>
          <w:sz w:val="32"/>
          <w:szCs w:val="32"/>
          <w:rtl/>
          <w:lang w:bidi="ar-DZ"/>
        </w:rPr>
        <w:t xml:space="preserve">وكان من المنطقي أن يؤدي انتزاع أراضي الجزائريين وتفتيت أراضي العرش الى احداث اختلال على التوازن الاقتصادي للمجتمع الجزائري وبالتالي تردي الظروف المعيشية للسكان وخير دليل على ذلك حدوث مجاعات 1867 و 1868 التي أودت بحياة 500.000 شخص أي خمس سكان الجزائر تقريبا، خاصة وأن هذه الكارثة قد وقعت بالأراضي الخصبة </w:t>
      </w:r>
      <w:r w:rsidR="00940D23">
        <w:rPr>
          <w:rFonts w:ascii="Traditional Arabic" w:eastAsia="MingLiU-ExtB" w:hAnsi="Traditional Arabic" w:cs="Traditional Arabic"/>
          <w:sz w:val="32"/>
          <w:szCs w:val="32"/>
          <w:lang w:bidi="ar-DZ"/>
        </w:rPr>
        <w:t> </w:t>
      </w:r>
      <w:r w:rsidR="00940D23">
        <w:rPr>
          <w:rFonts w:ascii="Traditional Arabic" w:eastAsia="MingLiU-ExtB" w:hAnsi="Traditional Arabic" w:cs="Traditional Arabic" w:hint="cs"/>
          <w:sz w:val="32"/>
          <w:szCs w:val="32"/>
          <w:rtl/>
          <w:lang w:bidi="ar-DZ"/>
        </w:rPr>
        <w:t xml:space="preserve">حيث ذكرت بعض التقارير </w:t>
      </w:r>
      <w:r w:rsidR="00940D23">
        <w:rPr>
          <w:rFonts w:ascii="Traditional Arabic" w:eastAsia="MingLiU-ExtB" w:hAnsi="Traditional Arabic" w:cs="Traditional Arabic" w:hint="cs"/>
          <w:sz w:val="32"/>
          <w:szCs w:val="32"/>
          <w:rtl/>
          <w:lang w:bidi="ar-DZ"/>
        </w:rPr>
        <w:lastRenderedPageBreak/>
        <w:t>الفرنسية أنه منذ صدور قانون السيناتيس كونسيلت ضربت المجاعة الجزائر وصار العرب يموتون بالجملة، فالخيام التي كانت من قبل ملتحمة هي الآن مبعثرة</w:t>
      </w:r>
      <w:r w:rsidR="00D073A1">
        <w:rPr>
          <w:rFonts w:ascii="Traditional Arabic" w:eastAsia="MingLiU-ExtB" w:hAnsi="Traditional Arabic" w:cs="Traditional Arabic" w:hint="cs"/>
          <w:sz w:val="32"/>
          <w:szCs w:val="32"/>
          <w:rtl/>
          <w:lang w:bidi="ar-DZ"/>
        </w:rPr>
        <w:t xml:space="preserve"> فقد زالت دواوير بأكملها.</w:t>
      </w:r>
      <w:r w:rsidR="00D073A1">
        <w:rPr>
          <w:rStyle w:val="Appelnotedebasdep"/>
          <w:rFonts w:ascii="Traditional Arabic" w:eastAsia="MingLiU-ExtB" w:hAnsi="Traditional Arabic" w:cs="Traditional Arabic"/>
          <w:sz w:val="32"/>
          <w:szCs w:val="32"/>
          <w:rtl/>
          <w:lang w:bidi="ar-DZ"/>
        </w:rPr>
        <w:footnoteReference w:id="28"/>
      </w:r>
    </w:p>
    <w:p w:rsidR="00E97161" w:rsidRDefault="00276C3D" w:rsidP="00B61A3B">
      <w:pPr>
        <w:bidi/>
        <w:spacing w:after="120" w:line="264" w:lineRule="auto"/>
        <w:jc w:val="left"/>
        <w:rPr>
          <w:rFonts w:ascii="Traditional Arabic" w:eastAsia="MingLiU-ExtB" w:hAnsi="Traditional Arabic" w:cs="Traditional Arabic"/>
          <w:sz w:val="32"/>
          <w:szCs w:val="32"/>
          <w:rtl/>
          <w:lang w:bidi="ar-DZ"/>
        </w:rPr>
      </w:pPr>
      <w:r>
        <w:rPr>
          <w:rFonts w:ascii="Traditional Arabic" w:eastAsia="MingLiU-ExtB" w:hAnsi="Traditional Arabic" w:cs="Traditional Arabic" w:hint="cs"/>
          <w:sz w:val="32"/>
          <w:szCs w:val="32"/>
          <w:rtl/>
          <w:lang w:bidi="ar-DZ"/>
        </w:rPr>
        <w:t xml:space="preserve">ولا شك أن أكبر عملية مصادرة جماعية لأراضي الأهالي المسلمين هي تلك مست أراضي كل القبائل التي تسكن المناطق </w:t>
      </w:r>
      <w:r w:rsidR="00C91DB0">
        <w:rPr>
          <w:rFonts w:ascii="Traditional Arabic" w:eastAsia="MingLiU-ExtB" w:hAnsi="Traditional Arabic" w:cs="Traditional Arabic" w:hint="cs"/>
          <w:sz w:val="32"/>
          <w:szCs w:val="32"/>
          <w:rtl/>
          <w:lang w:bidi="ar-DZ"/>
        </w:rPr>
        <w:t xml:space="preserve">التي تسكن المناطق التي كانت مسرحا لثورة </w:t>
      </w:r>
      <w:r w:rsidR="00BE367E">
        <w:rPr>
          <w:rFonts w:ascii="Traditional Arabic" w:eastAsia="MingLiU-ExtB" w:hAnsi="Traditional Arabic" w:cs="Traditional Arabic" w:hint="cs"/>
          <w:sz w:val="32"/>
          <w:szCs w:val="32"/>
          <w:rtl/>
          <w:lang w:bidi="ar-DZ"/>
        </w:rPr>
        <w:t xml:space="preserve">الباشا-آغا محمد المقراني والشيخ الحداد بعمالة قسنطينة سنة 1871 ومكنت الإدارة الاستعمارية من الاستيلاء على </w:t>
      </w:r>
      <w:r w:rsidR="00E02778">
        <w:rPr>
          <w:rFonts w:ascii="Traditional Arabic" w:eastAsia="MingLiU-ExtB" w:hAnsi="Traditional Arabic" w:cs="Traditional Arabic" w:hint="cs"/>
          <w:sz w:val="32"/>
          <w:szCs w:val="32"/>
          <w:rtl/>
          <w:lang w:bidi="ar-DZ"/>
        </w:rPr>
        <w:t>حوالي 7.25240 هكتار من أجود أراضي المنطقة وسلمت بعد</w:t>
      </w:r>
      <w:r w:rsidR="00681CD0">
        <w:rPr>
          <w:rFonts w:ascii="Traditional Arabic" w:eastAsia="MingLiU-ExtB" w:hAnsi="Traditional Arabic" w:cs="Traditional Arabic" w:hint="cs"/>
          <w:sz w:val="32"/>
          <w:szCs w:val="32"/>
          <w:rtl/>
          <w:lang w:bidi="ar-DZ"/>
        </w:rPr>
        <w:t xml:space="preserve"> فيما بعد للمستوطنين الذين وفدوا حديثا الى الجزائر من منطقة الألزاس واللورين بعد احتلالها من قبل بروسيا في نهاية عام</w:t>
      </w:r>
      <w:r w:rsidR="003A6965">
        <w:rPr>
          <w:rFonts w:ascii="Traditional Arabic" w:eastAsia="MingLiU-ExtB" w:hAnsi="Traditional Arabic" w:cs="Traditional Arabic" w:hint="cs"/>
          <w:sz w:val="32"/>
          <w:szCs w:val="32"/>
          <w:rtl/>
          <w:lang w:bidi="ar-DZ"/>
        </w:rPr>
        <w:t xml:space="preserve">1870 </w:t>
      </w:r>
      <w:r w:rsidR="00681CD0">
        <w:rPr>
          <w:rFonts w:ascii="Traditional Arabic" w:eastAsia="MingLiU-ExtB" w:hAnsi="Traditional Arabic" w:cs="Traditional Arabic" w:hint="cs"/>
          <w:sz w:val="32"/>
          <w:szCs w:val="32"/>
          <w:rtl/>
          <w:lang w:bidi="ar-DZ"/>
        </w:rPr>
        <w:t xml:space="preserve"> </w:t>
      </w:r>
      <w:r w:rsidR="00046383">
        <w:rPr>
          <w:rStyle w:val="Appelnotedebasdep"/>
          <w:rFonts w:ascii="Traditional Arabic" w:eastAsia="MingLiU-ExtB" w:hAnsi="Traditional Arabic" w:cs="Traditional Arabic"/>
          <w:sz w:val="32"/>
          <w:szCs w:val="32"/>
          <w:rtl/>
          <w:lang w:bidi="ar-DZ"/>
        </w:rPr>
        <w:footnoteReference w:id="29"/>
      </w:r>
      <w:r w:rsidR="00046383">
        <w:rPr>
          <w:rFonts w:ascii="Traditional Arabic" w:eastAsia="MingLiU-ExtB" w:hAnsi="Traditional Arabic" w:cs="Traditional Arabic" w:hint="cs"/>
          <w:sz w:val="32"/>
          <w:szCs w:val="32"/>
          <w:rtl/>
          <w:lang w:bidi="ar-DZ"/>
        </w:rPr>
        <w:t xml:space="preserve">، </w:t>
      </w:r>
      <w:r w:rsidR="009512C6">
        <w:rPr>
          <w:rFonts w:ascii="Traditional Arabic" w:eastAsia="MingLiU-ExtB" w:hAnsi="Traditional Arabic" w:cs="Traditional Arabic" w:hint="cs"/>
          <w:sz w:val="32"/>
          <w:szCs w:val="32"/>
          <w:rtl/>
          <w:lang w:bidi="ar-DZ"/>
        </w:rPr>
        <w:t xml:space="preserve">كما تم في مقاطعة وهران مصادرة أراضي العديد من القبائل نذكر منها: أولاد إبراهيم، </w:t>
      </w:r>
      <w:r w:rsidR="003C370B">
        <w:rPr>
          <w:rFonts w:ascii="Traditional Arabic" w:eastAsia="MingLiU-ExtB" w:hAnsi="Traditional Arabic" w:cs="Traditional Arabic" w:hint="cs"/>
          <w:sz w:val="32"/>
          <w:szCs w:val="32"/>
          <w:rtl/>
          <w:lang w:bidi="ar-DZ"/>
        </w:rPr>
        <w:t xml:space="preserve">أولاد معالف أولاد سيدي عبد الله، الغرابلة، أولاد سعيد، </w:t>
      </w:r>
      <w:r w:rsidR="0078472B">
        <w:rPr>
          <w:rFonts w:ascii="Traditional Arabic" w:eastAsia="MingLiU-ExtB" w:hAnsi="Traditional Arabic" w:cs="Traditional Arabic" w:hint="cs"/>
          <w:sz w:val="32"/>
          <w:szCs w:val="32"/>
          <w:rtl/>
          <w:lang w:bidi="ar-DZ"/>
        </w:rPr>
        <w:t xml:space="preserve">أولاد </w:t>
      </w:r>
      <w:r w:rsidR="00D415FD">
        <w:rPr>
          <w:rFonts w:ascii="Traditional Arabic" w:eastAsia="MingLiU-ExtB" w:hAnsi="Traditional Arabic" w:cs="Traditional Arabic" w:hint="cs"/>
          <w:sz w:val="32"/>
          <w:szCs w:val="32"/>
          <w:rtl/>
          <w:lang w:bidi="ar-DZ"/>
        </w:rPr>
        <w:t>بني وزان</w:t>
      </w:r>
      <w:r w:rsidR="00D415FD">
        <w:rPr>
          <w:rStyle w:val="Appelnotedebasdep"/>
          <w:rFonts w:ascii="Traditional Arabic" w:eastAsia="MingLiU-ExtB" w:hAnsi="Traditional Arabic" w:cs="Traditional Arabic"/>
          <w:sz w:val="32"/>
          <w:szCs w:val="32"/>
          <w:rtl/>
          <w:lang w:bidi="ar-DZ"/>
        </w:rPr>
        <w:footnoteReference w:id="30"/>
      </w:r>
      <w:r w:rsidR="00D05580">
        <w:rPr>
          <w:rFonts w:ascii="Traditional Arabic" w:eastAsia="MingLiU-ExtB" w:hAnsi="Traditional Arabic" w:cs="Traditional Arabic" w:hint="cs"/>
          <w:sz w:val="32"/>
          <w:szCs w:val="32"/>
          <w:rtl/>
          <w:lang w:bidi="ar-DZ"/>
        </w:rPr>
        <w:t>، أما في إقليم الجزائر فقد تم الاستيلاء على آلاف الهكتارات من الأراضي الخصبة نذكر منها منطقة عامر العين 23 كلم غرب البليدة تم الاستيلا</w:t>
      </w:r>
      <w:r w:rsidR="00D05580">
        <w:rPr>
          <w:rFonts w:ascii="Traditional Arabic" w:eastAsia="MingLiU-ExtB" w:hAnsi="Traditional Arabic" w:cs="Traditional Arabic"/>
          <w:sz w:val="32"/>
          <w:szCs w:val="32"/>
          <w:rtl/>
          <w:lang w:bidi="ar-DZ"/>
        </w:rPr>
        <w:t>ء</w:t>
      </w:r>
      <w:r w:rsidR="00D05580">
        <w:rPr>
          <w:rFonts w:ascii="Traditional Arabic" w:eastAsia="MingLiU-ExtB" w:hAnsi="Traditional Arabic" w:cs="Traditional Arabic" w:hint="cs"/>
          <w:sz w:val="32"/>
          <w:szCs w:val="32"/>
          <w:rtl/>
          <w:lang w:bidi="ar-DZ"/>
        </w:rPr>
        <w:t xml:space="preserve"> على 2.000 هكتار، سيدي عبد القادر وبومدفع 38 كلم غرب البليدة تم الاستيلاء على 1.213 هكتار لصالح 24 عائلة أوروبية، أما في مقاطعة قسنطينة</w:t>
      </w:r>
      <w:r w:rsidR="00207F13">
        <w:rPr>
          <w:rFonts w:ascii="Traditional Arabic" w:eastAsia="MingLiU-ExtB" w:hAnsi="Traditional Arabic" w:cs="Traditional Arabic" w:hint="cs"/>
          <w:sz w:val="32"/>
          <w:szCs w:val="32"/>
          <w:rtl/>
          <w:lang w:bidi="ar-DZ"/>
        </w:rPr>
        <w:t xml:space="preserve"> نذكر على سبيل المثال سيدي ناصر 03 كلم شرق عزابة استولت الإدارة الفرنسية على 1.224 هكتار لصالح 20 عائلة أوربية</w:t>
      </w:r>
      <w:r w:rsidR="00207F13">
        <w:rPr>
          <w:rStyle w:val="Appelnotedebasdep"/>
          <w:rFonts w:ascii="Traditional Arabic" w:eastAsia="MingLiU-ExtB" w:hAnsi="Traditional Arabic" w:cs="Traditional Arabic"/>
          <w:sz w:val="32"/>
          <w:szCs w:val="32"/>
          <w:rtl/>
          <w:lang w:bidi="ar-DZ"/>
        </w:rPr>
        <w:footnoteReference w:id="31"/>
      </w:r>
      <w:r w:rsidR="00207F13">
        <w:rPr>
          <w:rFonts w:ascii="Traditional Arabic" w:eastAsia="MingLiU-ExtB" w:hAnsi="Traditional Arabic" w:cs="Traditional Arabic" w:hint="cs"/>
          <w:sz w:val="32"/>
          <w:szCs w:val="32"/>
          <w:rtl/>
          <w:lang w:bidi="ar-DZ"/>
        </w:rPr>
        <w:t xml:space="preserve">، وهكذا سلطات الاحتلال من تجريد المجتمع الجزائري من أغلب وأجود أراضيه بطرق وذرائع شتى تستمد مشروعيتها فقط من منطق القوة والغلبة دون مراعاة العواقب الإنسانية المترتبة عن تجريد </w:t>
      </w:r>
      <w:r w:rsidR="00B12254">
        <w:rPr>
          <w:rFonts w:ascii="Traditional Arabic" w:eastAsia="MingLiU-ExtB" w:hAnsi="Traditional Arabic" w:cs="Traditional Arabic" w:hint="cs"/>
          <w:sz w:val="32"/>
          <w:szCs w:val="32"/>
          <w:rtl/>
          <w:lang w:bidi="ar-DZ"/>
        </w:rPr>
        <w:t>مجتمع كامل من مصدر رزقه الوحيد.</w:t>
      </w:r>
      <w:r w:rsidR="00B12254">
        <w:rPr>
          <w:rStyle w:val="Appelnotedebasdep"/>
          <w:rFonts w:ascii="Traditional Arabic" w:eastAsia="MingLiU-ExtB" w:hAnsi="Traditional Arabic" w:cs="Traditional Arabic"/>
          <w:sz w:val="32"/>
          <w:szCs w:val="32"/>
          <w:rtl/>
          <w:lang w:bidi="ar-DZ"/>
        </w:rPr>
        <w:footnoteReference w:id="32"/>
      </w:r>
    </w:p>
    <w:p w:rsidR="009C10F4" w:rsidRDefault="009C10F4" w:rsidP="00B61A3B">
      <w:pPr>
        <w:bidi/>
        <w:spacing w:after="120" w:line="264" w:lineRule="auto"/>
        <w:jc w:val="left"/>
        <w:rPr>
          <w:rFonts w:ascii="Traditional Arabic" w:eastAsia="MingLiU-ExtB" w:hAnsi="Traditional Arabic" w:cs="Traditional Arabic"/>
          <w:sz w:val="32"/>
          <w:szCs w:val="32"/>
          <w:rtl/>
          <w:lang w:bidi="ar-DZ"/>
        </w:rPr>
      </w:pPr>
    </w:p>
    <w:p w:rsidR="009C10F4" w:rsidRDefault="009C10F4" w:rsidP="009C10F4">
      <w:pPr>
        <w:bidi/>
        <w:spacing w:after="120" w:line="264" w:lineRule="auto"/>
        <w:rPr>
          <w:rFonts w:ascii="Traditional Arabic" w:eastAsia="MingLiU-ExtB" w:hAnsi="Traditional Arabic" w:cs="Traditional Arabic"/>
          <w:sz w:val="32"/>
          <w:szCs w:val="32"/>
          <w:rtl/>
          <w:lang w:bidi="ar-DZ"/>
        </w:rPr>
      </w:pPr>
    </w:p>
    <w:p w:rsidR="009C10F4" w:rsidRDefault="009C10F4" w:rsidP="009C10F4">
      <w:pPr>
        <w:bidi/>
        <w:spacing w:after="120" w:line="264" w:lineRule="auto"/>
        <w:rPr>
          <w:rFonts w:ascii="Traditional Arabic" w:eastAsia="MingLiU-ExtB" w:hAnsi="Traditional Arabic" w:cs="Traditional Arabic"/>
          <w:sz w:val="32"/>
          <w:szCs w:val="32"/>
          <w:rtl/>
          <w:lang w:bidi="ar-DZ"/>
        </w:rPr>
      </w:pPr>
    </w:p>
    <w:p w:rsidR="009C10F4" w:rsidRDefault="009C10F4" w:rsidP="009C10F4">
      <w:pPr>
        <w:bidi/>
        <w:spacing w:after="120" w:line="264" w:lineRule="auto"/>
        <w:rPr>
          <w:rFonts w:ascii="Traditional Arabic" w:eastAsia="MingLiU-ExtB" w:hAnsi="Traditional Arabic" w:cs="Traditional Arabic"/>
          <w:sz w:val="32"/>
          <w:szCs w:val="32"/>
          <w:rtl/>
          <w:lang w:bidi="ar-DZ"/>
        </w:rPr>
      </w:pPr>
    </w:p>
    <w:p w:rsidR="00366BCE" w:rsidRPr="00EA6397" w:rsidRDefault="00366BCE" w:rsidP="00B61A3B">
      <w:pPr>
        <w:bidi/>
        <w:spacing w:after="120" w:line="264" w:lineRule="auto"/>
        <w:jc w:val="left"/>
        <w:rPr>
          <w:rFonts w:ascii="Traditional Arabic" w:eastAsia="MingLiU-ExtB" w:hAnsi="Traditional Arabic" w:cs="Traditional Arabic"/>
          <w:b/>
          <w:bCs/>
          <w:sz w:val="32"/>
          <w:szCs w:val="32"/>
          <w:rtl/>
          <w:lang w:bidi="ar-DZ"/>
        </w:rPr>
      </w:pPr>
      <w:r w:rsidRPr="00EA6397">
        <w:rPr>
          <w:rFonts w:ascii="Traditional Arabic" w:eastAsia="MingLiU-ExtB" w:hAnsi="Traditional Arabic" w:cs="Traditional Arabic" w:hint="cs"/>
          <w:b/>
          <w:bCs/>
          <w:sz w:val="32"/>
          <w:szCs w:val="32"/>
          <w:rtl/>
          <w:lang w:bidi="ar-DZ"/>
        </w:rPr>
        <w:lastRenderedPageBreak/>
        <w:t>الخاتمة:</w:t>
      </w:r>
    </w:p>
    <w:p w:rsidR="00366BCE" w:rsidRDefault="009C10F4" w:rsidP="00B61A3B">
      <w:pPr>
        <w:bidi/>
        <w:spacing w:after="120" w:line="264" w:lineRule="auto"/>
        <w:jc w:val="left"/>
        <w:rPr>
          <w:rFonts w:ascii="Traditional Arabic" w:eastAsia="MingLiU-ExtB" w:hAnsi="Traditional Arabic" w:cs="Traditional Arabic"/>
          <w:sz w:val="32"/>
          <w:szCs w:val="32"/>
          <w:rtl/>
          <w:lang w:bidi="ar-DZ"/>
        </w:rPr>
      </w:pPr>
      <w:r>
        <w:rPr>
          <w:rFonts w:ascii="Traditional Arabic" w:eastAsia="MingLiU-ExtB" w:hAnsi="Traditional Arabic" w:cs="Traditional Arabic" w:hint="cs"/>
          <w:sz w:val="32"/>
          <w:szCs w:val="32"/>
          <w:rtl/>
          <w:lang w:bidi="ar-DZ"/>
        </w:rPr>
        <w:t xml:space="preserve">  </w:t>
      </w:r>
      <w:r w:rsidR="00937EDD">
        <w:rPr>
          <w:rFonts w:ascii="Traditional Arabic" w:eastAsia="MingLiU-ExtB" w:hAnsi="Traditional Arabic" w:cs="Traditional Arabic" w:hint="cs"/>
          <w:sz w:val="32"/>
          <w:szCs w:val="32"/>
          <w:rtl/>
          <w:lang w:bidi="ar-DZ"/>
        </w:rPr>
        <w:t>لقد شكل قانون السيناتيس كونسيلت أول مظهر من مظاهر السياسة العقارية التي اتبعتها فرنسا في الجزائر، والذي كان الهدف الأساسي منه هو الاستيلاء على الأراضي الجزائرية الخصبة وتحطيم البناء الاجتماعي للقبائل الجزائرية على اعتبار انها الوحدة الأساسية في النسق الاجتماعي للأهالي المسلمين</w:t>
      </w:r>
      <w:r>
        <w:rPr>
          <w:rFonts w:ascii="Traditional Arabic" w:eastAsia="MingLiU-ExtB" w:hAnsi="Traditional Arabic" w:cs="Traditional Arabic" w:hint="cs"/>
          <w:sz w:val="32"/>
          <w:szCs w:val="32"/>
          <w:rtl/>
          <w:lang w:bidi="ar-DZ"/>
        </w:rPr>
        <w:t>.</w:t>
      </w:r>
    </w:p>
    <w:p w:rsidR="009C10F4" w:rsidRDefault="009C10F4" w:rsidP="00B61A3B">
      <w:pPr>
        <w:bidi/>
        <w:spacing w:after="120" w:line="264" w:lineRule="auto"/>
        <w:jc w:val="left"/>
        <w:rPr>
          <w:rFonts w:ascii="Traditional Arabic" w:eastAsia="MingLiU-ExtB" w:hAnsi="Traditional Arabic" w:cs="Traditional Arabic"/>
          <w:sz w:val="32"/>
          <w:szCs w:val="32"/>
          <w:rtl/>
          <w:lang w:bidi="ar-DZ"/>
        </w:rPr>
      </w:pPr>
      <w:r>
        <w:rPr>
          <w:rFonts w:ascii="Traditional Arabic" w:eastAsia="MingLiU-ExtB" w:hAnsi="Traditional Arabic" w:cs="Traditional Arabic" w:hint="cs"/>
          <w:sz w:val="32"/>
          <w:szCs w:val="32"/>
          <w:rtl/>
          <w:lang w:bidi="ar-DZ"/>
        </w:rPr>
        <w:t xml:space="preserve"> لقد صاحب صدور هذا القانون عدة تناقضات فرغم ابداء الامبراطور نابليون الثالث رغبته في حماية الفلاحين المسلمين من عمليات المصادرة التي استهدفت أخصب أراضيهم جراء عمليات التجميع الا أن هذا القانون واصل هذه العملية وحول هؤلاء الفلاحين الى خماسين لدى الأوربيين لعجزهم عن شراء الأرض كأمل أخير منهم للبقاء في مورد رزقهم.</w:t>
      </w:r>
    </w:p>
    <w:p w:rsidR="00F064EC" w:rsidRDefault="00F064EC" w:rsidP="00B61A3B">
      <w:pPr>
        <w:bidi/>
        <w:spacing w:after="120" w:line="264" w:lineRule="auto"/>
        <w:jc w:val="left"/>
        <w:rPr>
          <w:rFonts w:ascii="Traditional Arabic" w:eastAsia="MingLiU-ExtB" w:hAnsi="Traditional Arabic" w:cs="Traditional Arabic"/>
          <w:sz w:val="32"/>
          <w:szCs w:val="32"/>
          <w:rtl/>
          <w:lang w:bidi="ar-DZ"/>
        </w:rPr>
      </w:pPr>
      <w:r>
        <w:rPr>
          <w:rFonts w:ascii="Traditional Arabic" w:eastAsia="MingLiU-ExtB" w:hAnsi="Traditional Arabic" w:cs="Traditional Arabic" w:hint="cs"/>
          <w:sz w:val="32"/>
          <w:szCs w:val="32"/>
          <w:rtl/>
          <w:lang w:bidi="ar-DZ"/>
        </w:rPr>
        <w:t>تميز موقف الأهالي المسلمين بالغموض والاحتشام وذلك باعتبار أنه مجتمع ريفي ترتفع فيه نسبة الأمية إلا أن هذا الموقف بدأ بالتغير مع مطلع القرن العشرين أين عبر الجزائريون عن موقفهم من خلال سياسة الوفود والعرائض، أما المعمرون فقد كان موقفهم واضحا فقد كانوا يرفضون أي قانون يحسن من حال العرب ولو كان من بابا المراوغة مثلما حول الحال مع قانون المشيخي.</w:t>
      </w:r>
    </w:p>
    <w:p w:rsidR="00F064EC" w:rsidRDefault="00F064EC" w:rsidP="00B61A3B">
      <w:pPr>
        <w:bidi/>
        <w:spacing w:after="120" w:line="264" w:lineRule="auto"/>
        <w:jc w:val="left"/>
        <w:rPr>
          <w:rFonts w:ascii="Traditional Arabic" w:eastAsia="MingLiU-ExtB" w:hAnsi="Traditional Arabic" w:cs="Traditional Arabic"/>
          <w:sz w:val="32"/>
          <w:szCs w:val="32"/>
          <w:rtl/>
          <w:lang w:bidi="ar-DZ"/>
        </w:rPr>
      </w:pPr>
      <w:r>
        <w:rPr>
          <w:rFonts w:ascii="Traditional Arabic" w:eastAsia="MingLiU-ExtB" w:hAnsi="Traditional Arabic" w:cs="Traditional Arabic" w:hint="cs"/>
          <w:sz w:val="32"/>
          <w:szCs w:val="32"/>
          <w:rtl/>
          <w:lang w:bidi="ar-DZ"/>
        </w:rPr>
        <w:t>لقد رافق عملية الاستيلاء ع</w:t>
      </w:r>
      <w:r w:rsidR="00E549F8">
        <w:rPr>
          <w:rFonts w:ascii="Traditional Arabic" w:eastAsia="MingLiU-ExtB" w:hAnsi="Traditional Arabic" w:cs="Traditional Arabic" w:hint="cs"/>
          <w:sz w:val="32"/>
          <w:szCs w:val="32"/>
          <w:rtl/>
          <w:lang w:bidi="ar-DZ"/>
        </w:rPr>
        <w:t>لى الأراضي حركة استيطانية واسعة</w:t>
      </w:r>
      <w:r w:rsidR="001C5E86">
        <w:rPr>
          <w:rFonts w:ascii="Traditional Arabic" w:eastAsia="MingLiU-ExtB" w:hAnsi="Traditional Arabic" w:cs="Traditional Arabic" w:hint="cs"/>
          <w:sz w:val="32"/>
          <w:szCs w:val="32"/>
          <w:rtl/>
          <w:lang w:bidi="ar-DZ"/>
        </w:rPr>
        <w:t>،</w:t>
      </w:r>
      <w:r w:rsidR="00B604E2">
        <w:rPr>
          <w:rFonts w:ascii="Traditional Arabic" w:eastAsia="MingLiU-ExtB" w:hAnsi="Traditional Arabic" w:cs="Traditional Arabic" w:hint="cs"/>
          <w:sz w:val="32"/>
          <w:szCs w:val="32"/>
          <w:rtl/>
          <w:lang w:bidi="ar-DZ"/>
        </w:rPr>
        <w:t xml:space="preserve"> </w:t>
      </w:r>
      <w:r>
        <w:rPr>
          <w:rFonts w:ascii="Traditional Arabic" w:eastAsia="MingLiU-ExtB" w:hAnsi="Traditional Arabic" w:cs="Traditional Arabic" w:hint="cs"/>
          <w:sz w:val="32"/>
          <w:szCs w:val="32"/>
          <w:rtl/>
          <w:lang w:bidi="ar-DZ"/>
        </w:rPr>
        <w:t>اذ استولت الإدارة الاستعمارية القائمة على تطبيق قانون السيناتيس كونسيلت على 2.9 مليون هكتار أي ما يعادل ثلث الأراضي الزراعية ومنحها للمعمرين القادمين من أوروبا.</w:t>
      </w:r>
    </w:p>
    <w:p w:rsidR="00542DEA" w:rsidRDefault="00542DEA" w:rsidP="00B61A3B">
      <w:pPr>
        <w:bidi/>
        <w:spacing w:after="120" w:line="264" w:lineRule="auto"/>
        <w:jc w:val="left"/>
        <w:rPr>
          <w:rFonts w:ascii="Traditional Arabic" w:eastAsia="MingLiU-ExtB" w:hAnsi="Traditional Arabic" w:cs="Traditional Arabic"/>
          <w:sz w:val="32"/>
          <w:szCs w:val="32"/>
          <w:rtl/>
          <w:lang w:bidi="ar-DZ"/>
        </w:rPr>
      </w:pPr>
    </w:p>
    <w:p w:rsidR="00542DEA" w:rsidRDefault="00542DEA" w:rsidP="00B61A3B">
      <w:pPr>
        <w:bidi/>
        <w:spacing w:after="120" w:line="264" w:lineRule="auto"/>
        <w:jc w:val="left"/>
        <w:rPr>
          <w:rFonts w:ascii="Traditional Arabic" w:eastAsia="MingLiU-ExtB" w:hAnsi="Traditional Arabic" w:cs="Traditional Arabic"/>
          <w:sz w:val="32"/>
          <w:szCs w:val="32"/>
          <w:rtl/>
          <w:lang w:bidi="ar-DZ"/>
        </w:rPr>
      </w:pPr>
    </w:p>
    <w:p w:rsidR="00542DEA" w:rsidRDefault="00542DEA" w:rsidP="00B61A3B">
      <w:pPr>
        <w:bidi/>
        <w:spacing w:after="120" w:line="264" w:lineRule="auto"/>
        <w:jc w:val="left"/>
        <w:rPr>
          <w:rFonts w:ascii="Traditional Arabic" w:eastAsia="MingLiU-ExtB" w:hAnsi="Traditional Arabic" w:cs="Traditional Arabic"/>
          <w:sz w:val="32"/>
          <w:szCs w:val="32"/>
          <w:rtl/>
          <w:lang w:bidi="ar-DZ"/>
        </w:rPr>
      </w:pPr>
    </w:p>
    <w:p w:rsidR="00542DEA" w:rsidRDefault="00542DEA" w:rsidP="00B61A3B">
      <w:pPr>
        <w:bidi/>
        <w:spacing w:after="120" w:line="264" w:lineRule="auto"/>
        <w:jc w:val="left"/>
        <w:rPr>
          <w:rFonts w:ascii="Traditional Arabic" w:eastAsia="MingLiU-ExtB" w:hAnsi="Traditional Arabic" w:cs="Traditional Arabic"/>
          <w:sz w:val="32"/>
          <w:szCs w:val="32"/>
          <w:rtl/>
          <w:lang w:bidi="ar-DZ"/>
        </w:rPr>
      </w:pPr>
    </w:p>
    <w:p w:rsidR="00542DEA" w:rsidRDefault="00542DEA" w:rsidP="00B61A3B">
      <w:pPr>
        <w:bidi/>
        <w:spacing w:after="120" w:line="264" w:lineRule="auto"/>
        <w:jc w:val="left"/>
        <w:rPr>
          <w:rFonts w:ascii="Traditional Arabic" w:eastAsia="MingLiU-ExtB" w:hAnsi="Traditional Arabic" w:cs="Traditional Arabic"/>
          <w:sz w:val="32"/>
          <w:szCs w:val="32"/>
          <w:rtl/>
          <w:lang w:bidi="ar-DZ"/>
        </w:rPr>
      </w:pPr>
    </w:p>
    <w:p w:rsidR="00542DEA" w:rsidRDefault="00542DEA" w:rsidP="00B61A3B">
      <w:pPr>
        <w:bidi/>
        <w:spacing w:after="120" w:line="264" w:lineRule="auto"/>
        <w:jc w:val="left"/>
        <w:rPr>
          <w:rFonts w:ascii="Traditional Arabic" w:eastAsia="MingLiU-ExtB" w:hAnsi="Traditional Arabic" w:cs="Traditional Arabic"/>
          <w:sz w:val="32"/>
          <w:szCs w:val="32"/>
          <w:rtl/>
          <w:lang w:bidi="ar-DZ"/>
        </w:rPr>
      </w:pPr>
    </w:p>
    <w:p w:rsidR="00542DEA" w:rsidRDefault="00542DEA" w:rsidP="00B61A3B">
      <w:pPr>
        <w:bidi/>
        <w:spacing w:after="120" w:line="264" w:lineRule="auto"/>
        <w:jc w:val="left"/>
        <w:rPr>
          <w:rFonts w:ascii="Traditional Arabic" w:eastAsia="MingLiU-ExtB" w:hAnsi="Traditional Arabic" w:cs="Traditional Arabic"/>
          <w:sz w:val="32"/>
          <w:szCs w:val="32"/>
          <w:rtl/>
          <w:lang w:bidi="ar-DZ"/>
        </w:rPr>
      </w:pPr>
    </w:p>
    <w:p w:rsidR="00542DEA" w:rsidRDefault="00542DEA" w:rsidP="00B61A3B">
      <w:pPr>
        <w:bidi/>
        <w:spacing w:after="120" w:line="264" w:lineRule="auto"/>
        <w:jc w:val="left"/>
        <w:rPr>
          <w:rFonts w:ascii="Traditional Arabic" w:eastAsia="MingLiU-ExtB" w:hAnsi="Traditional Arabic" w:cs="Traditional Arabic"/>
          <w:sz w:val="32"/>
          <w:szCs w:val="32"/>
          <w:rtl/>
          <w:lang w:bidi="ar-DZ"/>
        </w:rPr>
      </w:pPr>
    </w:p>
    <w:p w:rsidR="00542DEA" w:rsidRPr="00EA6397" w:rsidRDefault="00542DEA" w:rsidP="00B61A3B">
      <w:pPr>
        <w:bidi/>
        <w:spacing w:after="120" w:line="264" w:lineRule="auto"/>
        <w:jc w:val="left"/>
        <w:rPr>
          <w:rFonts w:ascii="Traditional Arabic" w:eastAsia="MingLiU-ExtB" w:hAnsi="Traditional Arabic" w:cs="Traditional Arabic"/>
          <w:b/>
          <w:bCs/>
          <w:sz w:val="32"/>
          <w:szCs w:val="32"/>
          <w:rtl/>
          <w:lang w:bidi="ar-DZ"/>
        </w:rPr>
      </w:pPr>
      <w:r w:rsidRPr="00EA6397">
        <w:rPr>
          <w:rFonts w:ascii="Traditional Arabic" w:eastAsia="MingLiU-ExtB" w:hAnsi="Traditional Arabic" w:cs="Traditional Arabic" w:hint="cs"/>
          <w:b/>
          <w:bCs/>
          <w:sz w:val="32"/>
          <w:szCs w:val="32"/>
          <w:rtl/>
          <w:lang w:bidi="ar-DZ"/>
        </w:rPr>
        <w:lastRenderedPageBreak/>
        <w:t>قائمة المصادر والمراجع:</w:t>
      </w:r>
    </w:p>
    <w:p w:rsidR="00542DEA" w:rsidRDefault="00542DEA" w:rsidP="00B61A3B">
      <w:pPr>
        <w:bidi/>
        <w:spacing w:after="120" w:line="264" w:lineRule="auto"/>
        <w:jc w:val="left"/>
        <w:rPr>
          <w:rFonts w:ascii="Traditional Arabic" w:eastAsia="MingLiU-ExtB" w:hAnsi="Traditional Arabic" w:cs="Traditional Arabic"/>
          <w:sz w:val="32"/>
          <w:szCs w:val="32"/>
          <w:rtl/>
          <w:lang w:bidi="ar-DZ"/>
        </w:rPr>
      </w:pPr>
      <w:r>
        <w:rPr>
          <w:rFonts w:ascii="Traditional Arabic" w:eastAsia="MingLiU-ExtB" w:hAnsi="Traditional Arabic" w:cs="Traditional Arabic" w:hint="cs"/>
          <w:sz w:val="32"/>
          <w:szCs w:val="32"/>
          <w:rtl/>
          <w:lang w:bidi="ar-DZ"/>
        </w:rPr>
        <w:t>1/ المراجع باللغة العربية:</w:t>
      </w:r>
    </w:p>
    <w:p w:rsidR="00542DEA" w:rsidRDefault="00542DEA" w:rsidP="00B61A3B">
      <w:pPr>
        <w:pStyle w:val="Notedebasdepage"/>
        <w:numPr>
          <w:ilvl w:val="0"/>
          <w:numId w:val="8"/>
        </w:numPr>
        <w:bidi/>
        <w:jc w:val="left"/>
        <w:rPr>
          <w:rFonts w:ascii="Traditional Arabic" w:hAnsi="Traditional Arabic" w:cs="Traditional Arabic"/>
          <w:sz w:val="28"/>
          <w:szCs w:val="28"/>
          <w:lang w:bidi="ar-DZ"/>
        </w:rPr>
      </w:pPr>
      <w:r w:rsidRPr="00ED42E3">
        <w:rPr>
          <w:rFonts w:ascii="Traditional Arabic" w:hAnsi="Traditional Arabic" w:cs="Traditional Arabic"/>
          <w:sz w:val="28"/>
          <w:szCs w:val="28"/>
          <w:rtl/>
          <w:lang w:bidi="ar-DZ"/>
        </w:rPr>
        <w:t>ايلال نور الدين، المرسوم المشيخي 22 أفريل 1863 في الجزائر والمواقف المختلفة منه، جامعة البليدة</w:t>
      </w:r>
      <w:r>
        <w:rPr>
          <w:rFonts w:ascii="Traditional Arabic" w:hAnsi="Traditional Arabic" w:cs="Traditional Arabic" w:hint="cs"/>
          <w:sz w:val="28"/>
          <w:szCs w:val="28"/>
          <w:rtl/>
          <w:lang w:bidi="ar-DZ"/>
        </w:rPr>
        <w:t>.</w:t>
      </w:r>
    </w:p>
    <w:p w:rsidR="002E192A" w:rsidRDefault="002E192A" w:rsidP="002E192A">
      <w:pPr>
        <w:pStyle w:val="Notedebasdepage"/>
        <w:numPr>
          <w:ilvl w:val="0"/>
          <w:numId w:val="8"/>
        </w:numPr>
        <w:bidi/>
        <w:jc w:val="left"/>
        <w:rPr>
          <w:lang w:bidi="ar-DZ"/>
        </w:rPr>
      </w:pPr>
      <w:r w:rsidRPr="00AD41DA">
        <w:rPr>
          <w:rFonts w:ascii="Traditional Arabic" w:hAnsi="Traditional Arabic" w:cs="Traditional Arabic"/>
          <w:sz w:val="28"/>
          <w:szCs w:val="28"/>
          <w:rtl/>
          <w:lang w:bidi="ar-DZ"/>
        </w:rPr>
        <w:t>بورغدة رمضان، مصادرة الأراضي والضرائب والغرامات وأثرها على المجتمع الجزائري</w:t>
      </w:r>
      <w:r>
        <w:rPr>
          <w:rFonts w:ascii="Traditional Arabic" w:hAnsi="Traditional Arabic" w:cs="Traditional Arabic" w:hint="cs"/>
          <w:sz w:val="28"/>
          <w:szCs w:val="28"/>
          <w:rtl/>
          <w:lang w:bidi="ar-DZ"/>
        </w:rPr>
        <w:t>.</w:t>
      </w:r>
    </w:p>
    <w:p w:rsidR="002E192A" w:rsidRPr="002E192A" w:rsidRDefault="002E192A" w:rsidP="002E192A">
      <w:pPr>
        <w:pStyle w:val="Notedebasdepage"/>
        <w:numPr>
          <w:ilvl w:val="0"/>
          <w:numId w:val="8"/>
        </w:numPr>
        <w:bidi/>
        <w:jc w:val="left"/>
        <w:rPr>
          <w:rtl/>
          <w:lang w:bidi="ar-DZ"/>
        </w:rPr>
      </w:pPr>
      <w:r w:rsidRPr="002E192A">
        <w:rPr>
          <w:rFonts w:ascii="Traditional Arabic" w:hAnsi="Traditional Arabic" w:cs="Traditional Arabic"/>
          <w:sz w:val="28"/>
          <w:szCs w:val="28"/>
          <w:rtl/>
        </w:rPr>
        <w:t>بن داهة عدة، الاستيطان والصراع حول الملكية في الجزائر ابان الاحتلال الفرنسي للجزائر 1830-1962، ج01، المؤلفات للنشر والتوزيع، الجزائر</w:t>
      </w:r>
      <w:r w:rsidRPr="002E192A">
        <w:rPr>
          <w:rFonts w:ascii="Traditional Arabic" w:hAnsi="Traditional Arabic" w:cs="Traditional Arabic" w:hint="cs"/>
          <w:sz w:val="28"/>
          <w:szCs w:val="28"/>
          <w:rtl/>
        </w:rPr>
        <w:t>.</w:t>
      </w:r>
    </w:p>
    <w:p w:rsidR="00542DEA" w:rsidRPr="0005529F" w:rsidRDefault="00542DEA" w:rsidP="00B61A3B">
      <w:pPr>
        <w:pStyle w:val="Paragraphedeliste"/>
        <w:numPr>
          <w:ilvl w:val="0"/>
          <w:numId w:val="8"/>
        </w:numPr>
        <w:bidi/>
        <w:jc w:val="left"/>
        <w:rPr>
          <w:rFonts w:ascii="Traditional Arabic" w:hAnsi="Traditional Arabic" w:cs="Traditional Arabic"/>
          <w:sz w:val="28"/>
          <w:szCs w:val="28"/>
          <w:rtl/>
          <w:lang w:bidi="ar-DZ"/>
        </w:rPr>
      </w:pPr>
      <w:r w:rsidRPr="0005529F">
        <w:rPr>
          <w:rFonts w:ascii="Traditional Arabic" w:hAnsi="Traditional Arabic" w:cs="Traditional Arabic"/>
          <w:sz w:val="28"/>
          <w:szCs w:val="28"/>
          <w:rtl/>
          <w:lang w:bidi="ar-DZ"/>
        </w:rPr>
        <w:t>شارل روبير أجيرون، تاريخ الجزائر المعاصرة، تر: عيسى عصفور، منشورات عويدات، بيروت، باريس، ط1، 1982.</w:t>
      </w:r>
    </w:p>
    <w:p w:rsidR="00F86416" w:rsidRPr="00526891" w:rsidRDefault="00F86416" w:rsidP="00B61A3B">
      <w:pPr>
        <w:pStyle w:val="Notedebasdepage"/>
        <w:numPr>
          <w:ilvl w:val="0"/>
          <w:numId w:val="8"/>
        </w:numPr>
        <w:bidi/>
        <w:jc w:val="left"/>
        <w:rPr>
          <w:rFonts w:ascii="Traditional Arabic" w:hAnsi="Traditional Arabic" w:cs="Traditional Arabic"/>
          <w:sz w:val="28"/>
          <w:szCs w:val="28"/>
          <w:rtl/>
          <w:lang w:bidi="ar-DZ"/>
        </w:rPr>
      </w:pPr>
      <w:r w:rsidRPr="00526891">
        <w:rPr>
          <w:rFonts w:ascii="Traditional Arabic" w:hAnsi="Traditional Arabic" w:cs="Traditional Arabic"/>
          <w:sz w:val="28"/>
          <w:szCs w:val="28"/>
          <w:rtl/>
          <w:lang w:bidi="ar-DZ"/>
        </w:rPr>
        <w:t>صالح حيمر، قانون السيناتيس كونسيلت 1863 حول الملكية العقارية في الجزائر قراءة تار</w:t>
      </w:r>
      <w:r>
        <w:rPr>
          <w:rFonts w:ascii="Traditional Arabic" w:hAnsi="Traditional Arabic" w:cs="Traditional Arabic"/>
          <w:sz w:val="28"/>
          <w:szCs w:val="28"/>
          <w:rtl/>
          <w:lang w:bidi="ar-DZ"/>
        </w:rPr>
        <w:t>يخية، جامعة العربي التبسي، تبسة</w:t>
      </w:r>
      <w:r>
        <w:rPr>
          <w:rFonts w:ascii="Traditional Arabic" w:hAnsi="Traditional Arabic" w:cs="Traditional Arabic" w:hint="cs"/>
          <w:sz w:val="28"/>
          <w:szCs w:val="28"/>
          <w:rtl/>
          <w:lang w:bidi="ar-DZ"/>
        </w:rPr>
        <w:t>.</w:t>
      </w:r>
    </w:p>
    <w:p w:rsidR="00F86416" w:rsidRPr="002E192A" w:rsidRDefault="002E192A" w:rsidP="002E192A">
      <w:pPr>
        <w:pStyle w:val="Paragraphedeliste"/>
        <w:numPr>
          <w:ilvl w:val="0"/>
          <w:numId w:val="8"/>
        </w:numPr>
        <w:bidi/>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CF6608">
        <w:rPr>
          <w:rFonts w:ascii="Traditional Arabic" w:hAnsi="Traditional Arabic" w:cs="Traditional Arabic"/>
          <w:sz w:val="28"/>
          <w:szCs w:val="28"/>
          <w:rtl/>
          <w:lang w:bidi="ar-DZ"/>
        </w:rPr>
        <w:t>نادية طرشون، سياسة نابليون الثالث العربية، مجلة الدراسات العربية في العلوم الإنسانية والاجتماعية</w:t>
      </w:r>
      <w:r w:rsidRPr="00CF6608">
        <w:rPr>
          <w:rFonts w:ascii="Traditional Arabic" w:hAnsi="Traditional Arabic" w:cs="Traditional Arabic" w:hint="cs"/>
          <w:sz w:val="28"/>
          <w:szCs w:val="28"/>
          <w:rtl/>
          <w:lang w:bidi="ar-DZ"/>
        </w:rPr>
        <w:t>.</w:t>
      </w:r>
    </w:p>
    <w:p w:rsidR="0005529F" w:rsidRDefault="0005529F" w:rsidP="00BE255B">
      <w:pPr>
        <w:bidi/>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 المراجع باللغة الأجنبية:</w:t>
      </w:r>
    </w:p>
    <w:p w:rsidR="0005529F" w:rsidRPr="00543727" w:rsidRDefault="0005529F" w:rsidP="00BE255B">
      <w:pPr>
        <w:pStyle w:val="Notedebasdepage"/>
        <w:numPr>
          <w:ilvl w:val="0"/>
          <w:numId w:val="7"/>
        </w:numPr>
        <w:jc w:val="left"/>
        <w:rPr>
          <w:rFonts w:ascii="Traditional Arabic" w:hAnsi="Traditional Arabic" w:cs="Traditional Arabic"/>
          <w:sz w:val="28"/>
          <w:szCs w:val="28"/>
          <w:lang w:bidi="ar-DZ"/>
        </w:rPr>
      </w:pPr>
      <w:r w:rsidRPr="00543727">
        <w:rPr>
          <w:rFonts w:ascii="Traditional Arabic" w:hAnsi="Traditional Arabic" w:cs="Traditional Arabic"/>
          <w:sz w:val="28"/>
          <w:szCs w:val="28"/>
        </w:rPr>
        <w:t>Spillmann Geoger, Arabe d’Algérie, Revue souvenir napoléonien, N266, Octobre 1972</w:t>
      </w:r>
      <w:r w:rsidR="00784E2B">
        <w:rPr>
          <w:rFonts w:ascii="Traditional Arabic" w:hAnsi="Traditional Arabic" w:cs="Traditional Arabic" w:hint="cs"/>
          <w:sz w:val="28"/>
          <w:szCs w:val="28"/>
          <w:rtl/>
        </w:rPr>
        <w:t>.</w:t>
      </w:r>
    </w:p>
    <w:p w:rsidR="0005529F" w:rsidRDefault="0005529F" w:rsidP="00BE255B">
      <w:pPr>
        <w:pStyle w:val="Notedebasdepage"/>
        <w:numPr>
          <w:ilvl w:val="0"/>
          <w:numId w:val="7"/>
        </w:numPr>
        <w:jc w:val="left"/>
        <w:rPr>
          <w:rtl/>
          <w:lang w:bidi="ar-DZ"/>
        </w:rPr>
      </w:pPr>
      <w:r w:rsidRPr="00543727">
        <w:rPr>
          <w:rFonts w:ascii="Traditional Arabic" w:hAnsi="Traditional Arabic" w:cs="Traditional Arabic"/>
          <w:sz w:val="28"/>
          <w:szCs w:val="28"/>
        </w:rPr>
        <w:t>Ch, Robert Ageron, histoire de l’Algérie contemporaine, neuvième édition presses universitaires de France, avril, 1990</w:t>
      </w:r>
      <w:r w:rsidR="00784E2B">
        <w:rPr>
          <w:rFonts w:ascii="Traditional Arabic" w:hAnsi="Traditional Arabic" w:cs="Traditional Arabic" w:hint="cs"/>
          <w:sz w:val="28"/>
          <w:szCs w:val="28"/>
          <w:rtl/>
        </w:rPr>
        <w:t>.</w:t>
      </w:r>
    </w:p>
    <w:p w:rsidR="0005529F" w:rsidRDefault="0005529F" w:rsidP="00BE255B">
      <w:pPr>
        <w:pStyle w:val="Notedebasdepage"/>
        <w:numPr>
          <w:ilvl w:val="0"/>
          <w:numId w:val="7"/>
        </w:numPr>
        <w:jc w:val="left"/>
        <w:rPr>
          <w:rFonts w:ascii="Traditional Arabic" w:hAnsi="Traditional Arabic" w:cs="Traditional Arabic"/>
          <w:sz w:val="28"/>
          <w:szCs w:val="28"/>
          <w:rtl/>
        </w:rPr>
      </w:pPr>
      <w:r w:rsidRPr="00FE0DA4">
        <w:rPr>
          <w:rFonts w:ascii="Traditional Arabic" w:hAnsi="Traditional Arabic" w:cs="Traditional Arabic"/>
          <w:sz w:val="28"/>
          <w:szCs w:val="28"/>
        </w:rPr>
        <w:t>Collection des actes du Gouvernement général depuis l’occupation d’Alger jusqu’au 1 octobre 1834, paris imprimerie impériale,1862</w:t>
      </w:r>
      <w:r w:rsidR="00784E2B">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p>
    <w:p w:rsidR="0005529F" w:rsidRDefault="0005529F" w:rsidP="00BE255B">
      <w:pPr>
        <w:pStyle w:val="Notedebasdepage"/>
        <w:numPr>
          <w:ilvl w:val="0"/>
          <w:numId w:val="7"/>
        </w:numPr>
        <w:jc w:val="left"/>
        <w:rPr>
          <w:rFonts w:ascii="Traditional Arabic" w:hAnsi="Traditional Arabic" w:cs="Traditional Arabic"/>
          <w:sz w:val="28"/>
          <w:szCs w:val="28"/>
          <w:lang w:bidi="ar-DZ"/>
        </w:rPr>
      </w:pPr>
      <w:r w:rsidRPr="00432DBE">
        <w:rPr>
          <w:rFonts w:ascii="Traditional Arabic" w:hAnsi="Traditional Arabic" w:cs="Traditional Arabic"/>
          <w:sz w:val="28"/>
          <w:szCs w:val="28"/>
          <w:lang w:bidi="ar-DZ"/>
        </w:rPr>
        <w:t xml:space="preserve">Yerri Urban, race et nationalité dans le droit </w:t>
      </w:r>
      <w:r w:rsidR="00A1388F" w:rsidRPr="00432DBE">
        <w:rPr>
          <w:rFonts w:ascii="Traditional Arabic" w:hAnsi="Traditional Arabic" w:cs="Traditional Arabic"/>
          <w:sz w:val="28"/>
          <w:szCs w:val="28"/>
          <w:lang w:bidi="ar-DZ"/>
        </w:rPr>
        <w:t>colonial</w:t>
      </w:r>
      <w:r w:rsidRPr="00432DBE">
        <w:rPr>
          <w:rFonts w:ascii="Traditional Arabic" w:hAnsi="Traditional Arabic" w:cs="Traditional Arabic"/>
          <w:sz w:val="28"/>
          <w:szCs w:val="28"/>
          <w:lang w:bidi="ar-DZ"/>
        </w:rPr>
        <w:t xml:space="preserve"> français 1865-1955 </w:t>
      </w:r>
      <w:r w:rsidR="00A1388F" w:rsidRPr="00432DBE">
        <w:rPr>
          <w:rFonts w:ascii="Traditional Arabic" w:hAnsi="Traditional Arabic" w:cs="Traditional Arabic"/>
          <w:sz w:val="28"/>
          <w:szCs w:val="28"/>
          <w:lang w:bidi="ar-DZ"/>
        </w:rPr>
        <w:t>université</w:t>
      </w:r>
      <w:r w:rsidRPr="00432DBE">
        <w:rPr>
          <w:rFonts w:ascii="Traditional Arabic" w:hAnsi="Traditional Arabic" w:cs="Traditional Arabic"/>
          <w:sz w:val="28"/>
          <w:szCs w:val="28"/>
          <w:lang w:bidi="ar-DZ"/>
        </w:rPr>
        <w:t xml:space="preserve"> de de Bourgogne, 2009, France, </w:t>
      </w:r>
      <w:hyperlink r:id="rId9" w:history="1">
        <w:r w:rsidRPr="000B7864">
          <w:rPr>
            <w:rStyle w:val="Lienhypertexte"/>
            <w:rFonts w:ascii="Traditional Arabic" w:hAnsi="Traditional Arabic" w:cs="Traditional Arabic"/>
            <w:sz w:val="28"/>
            <w:szCs w:val="28"/>
            <w:lang w:bidi="ar-DZ"/>
          </w:rPr>
          <w:t>https</w:t>
        </w:r>
        <w:r w:rsidRPr="000B7864">
          <w:rPr>
            <w:rStyle w:val="Lienhypertexte"/>
            <w:rFonts w:ascii="Traditional Arabic" w:hAnsi="Traditional Arabic" w:cs="Traditional Arabic"/>
            <w:sz w:val="28"/>
            <w:szCs w:val="28"/>
            <w:rtl/>
            <w:lang w:bidi="ar-DZ"/>
          </w:rPr>
          <w:t>:</w:t>
        </w:r>
        <w:r w:rsidRPr="000B7864">
          <w:rPr>
            <w:rStyle w:val="Lienhypertexte"/>
            <w:rFonts w:ascii="Traditional Arabic" w:hAnsi="Traditional Arabic" w:cs="Traditional Arabic"/>
            <w:sz w:val="28"/>
            <w:szCs w:val="28"/>
            <w:lang w:bidi="ar-DZ"/>
          </w:rPr>
          <w:t>//hal.archives.ouvertes.fr</w:t>
        </w:r>
      </w:hyperlink>
      <w:r>
        <w:rPr>
          <w:rFonts w:ascii="Traditional Arabic" w:hAnsi="Traditional Arabic" w:cs="Traditional Arabic" w:hint="cs"/>
          <w:sz w:val="28"/>
          <w:szCs w:val="28"/>
          <w:rtl/>
          <w:lang w:bidi="ar-DZ"/>
        </w:rPr>
        <w:t>.</w:t>
      </w:r>
    </w:p>
    <w:p w:rsidR="0005529F" w:rsidRDefault="00784E2B" w:rsidP="00BE255B">
      <w:pPr>
        <w:pStyle w:val="Notedebasdepage"/>
        <w:numPr>
          <w:ilvl w:val="0"/>
          <w:numId w:val="7"/>
        </w:numPr>
        <w:jc w:val="left"/>
        <w:rPr>
          <w:rFonts w:ascii="Traditional Arabic" w:hAnsi="Traditional Arabic" w:cs="Traditional Arabic"/>
          <w:sz w:val="28"/>
          <w:szCs w:val="28"/>
          <w:lang w:bidi="ar-DZ"/>
        </w:rPr>
      </w:pPr>
      <w:r w:rsidRPr="009120E8">
        <w:rPr>
          <w:rFonts w:ascii="Traditional Arabic" w:hAnsi="Traditional Arabic" w:cs="Traditional Arabic"/>
          <w:sz w:val="28"/>
          <w:szCs w:val="28"/>
          <w:lang w:bidi="ar-DZ"/>
        </w:rPr>
        <w:t>E.U.G. Fourmestraux, les idées napoléoniennes, en Algérie, challamel Ainé, libraire, Editeur, France, 1860</w:t>
      </w:r>
      <w:r>
        <w:rPr>
          <w:rFonts w:ascii="Traditional Arabic" w:hAnsi="Traditional Arabic" w:cs="Traditional Arabic" w:hint="cs"/>
          <w:sz w:val="28"/>
          <w:szCs w:val="28"/>
          <w:rtl/>
          <w:lang w:bidi="ar-DZ"/>
        </w:rPr>
        <w:t>.</w:t>
      </w:r>
    </w:p>
    <w:p w:rsidR="00495EE5" w:rsidRDefault="00495EE5" w:rsidP="00BE255B">
      <w:pPr>
        <w:pStyle w:val="Notedebasdepage"/>
        <w:numPr>
          <w:ilvl w:val="0"/>
          <w:numId w:val="7"/>
        </w:numPr>
        <w:jc w:val="left"/>
        <w:rPr>
          <w:rFonts w:ascii="Traditional Arabic" w:hAnsi="Traditional Arabic" w:cs="Traditional Arabic"/>
          <w:sz w:val="28"/>
          <w:szCs w:val="28"/>
          <w:lang w:bidi="ar-DZ"/>
        </w:rPr>
      </w:pPr>
      <w:r w:rsidRPr="002F0E22">
        <w:rPr>
          <w:rFonts w:ascii="Traditional Arabic" w:hAnsi="Traditional Arabic" w:cs="Traditional Arabic"/>
          <w:sz w:val="28"/>
          <w:szCs w:val="28"/>
          <w:lang w:bidi="ar-DZ"/>
        </w:rPr>
        <w:t xml:space="preserve">Didier Guignard, le </w:t>
      </w:r>
      <w:r w:rsidR="00A1388F" w:rsidRPr="002F0E22">
        <w:rPr>
          <w:rFonts w:ascii="Traditional Arabic" w:hAnsi="Traditional Arabic" w:cs="Traditional Arabic"/>
          <w:sz w:val="28"/>
          <w:szCs w:val="28"/>
          <w:lang w:bidi="ar-DZ"/>
        </w:rPr>
        <w:t>sénatus-consulte</w:t>
      </w:r>
      <w:r w:rsidRPr="002F0E22">
        <w:rPr>
          <w:rFonts w:ascii="Traditional Arabic" w:hAnsi="Traditional Arabic" w:cs="Traditional Arabic"/>
          <w:sz w:val="28"/>
          <w:szCs w:val="28"/>
          <w:lang w:bidi="ar-DZ"/>
        </w:rPr>
        <w:t xml:space="preserve"> de 1863 : la dislocation ou programmé de la société rurale algérienne</w:t>
      </w:r>
      <w:r>
        <w:rPr>
          <w:rFonts w:ascii="Traditional Arabic" w:hAnsi="Traditional Arabic" w:cs="Traditional Arabic" w:hint="cs"/>
          <w:sz w:val="28"/>
          <w:szCs w:val="28"/>
          <w:rtl/>
          <w:lang w:bidi="ar-DZ"/>
        </w:rPr>
        <w:t>.</w:t>
      </w:r>
    </w:p>
    <w:p w:rsidR="00495EE5" w:rsidRDefault="00E65EF7" w:rsidP="00BE255B">
      <w:pPr>
        <w:pStyle w:val="Notedebasdepage"/>
        <w:numPr>
          <w:ilvl w:val="0"/>
          <w:numId w:val="7"/>
        </w:numPr>
        <w:jc w:val="left"/>
        <w:rPr>
          <w:rFonts w:ascii="Traditional Arabic" w:hAnsi="Traditional Arabic" w:cs="Traditional Arabic"/>
          <w:sz w:val="28"/>
          <w:szCs w:val="28"/>
          <w:lang w:bidi="ar-DZ"/>
        </w:rPr>
      </w:pPr>
      <w:r w:rsidRPr="00A17B42">
        <w:rPr>
          <w:rFonts w:ascii="Traditional Arabic" w:hAnsi="Traditional Arabic" w:cs="Traditional Arabic"/>
          <w:sz w:val="28"/>
          <w:szCs w:val="28"/>
          <w:lang w:bidi="ar-DZ"/>
        </w:rPr>
        <w:t>Alain sainte _marie, l’application du sénatus-consulte du 22 avril 1863 dans la province d’Alger, in cahiers de la méditerranée, N 03, 1971</w:t>
      </w:r>
      <w:r>
        <w:rPr>
          <w:rFonts w:ascii="Traditional Arabic" w:hAnsi="Traditional Arabic" w:cs="Traditional Arabic" w:hint="cs"/>
          <w:sz w:val="28"/>
          <w:szCs w:val="28"/>
          <w:rtl/>
          <w:lang w:bidi="ar-DZ"/>
        </w:rPr>
        <w:t>.</w:t>
      </w:r>
    </w:p>
    <w:p w:rsidR="00F504D1" w:rsidRPr="002B2925" w:rsidRDefault="00F504D1" w:rsidP="00BE255B">
      <w:pPr>
        <w:pStyle w:val="Notedebasdepage"/>
        <w:numPr>
          <w:ilvl w:val="0"/>
          <w:numId w:val="7"/>
        </w:numPr>
        <w:jc w:val="left"/>
        <w:rPr>
          <w:rFonts w:ascii="Traditional Arabic" w:hAnsi="Traditional Arabic" w:cs="Traditional Arabic"/>
          <w:sz w:val="28"/>
          <w:szCs w:val="28"/>
          <w:lang w:bidi="ar-DZ"/>
        </w:rPr>
      </w:pPr>
      <w:r w:rsidRPr="009D727F">
        <w:rPr>
          <w:rFonts w:ascii="Simplified Arabic" w:hAnsi="Simplified Arabic" w:cs="Simplified Arabic"/>
          <w:sz w:val="24"/>
          <w:szCs w:val="24"/>
          <w:lang w:bidi="ar-DZ"/>
        </w:rPr>
        <w:t xml:space="preserve">Rodolphe Dareste, de la propriété en Algérie lois du 16 juin 1851_ </w:t>
      </w:r>
      <w:r w:rsidR="00A1388F" w:rsidRPr="009D727F">
        <w:rPr>
          <w:rFonts w:ascii="Simplified Arabic" w:hAnsi="Simplified Arabic" w:cs="Simplified Arabic"/>
          <w:sz w:val="24"/>
          <w:szCs w:val="24"/>
          <w:lang w:bidi="ar-DZ"/>
        </w:rPr>
        <w:t>sénatus-consulte</w:t>
      </w:r>
      <w:r w:rsidRPr="009D727F">
        <w:rPr>
          <w:rFonts w:ascii="Simplified Arabic" w:hAnsi="Simplified Arabic" w:cs="Simplified Arabic"/>
          <w:sz w:val="24"/>
          <w:szCs w:val="24"/>
          <w:lang w:bidi="ar-DZ"/>
        </w:rPr>
        <w:t xml:space="preserve"> du 22 avril 1863, 2eme édition, imprimerie de AD.</w:t>
      </w:r>
      <w:r w:rsidR="002B2925">
        <w:rPr>
          <w:rFonts w:ascii="Simplified Arabic" w:hAnsi="Simplified Arabic" w:cs="Simplified Arabic"/>
          <w:sz w:val="24"/>
          <w:szCs w:val="24"/>
          <w:lang w:bidi="ar-DZ"/>
        </w:rPr>
        <w:t>R.</w:t>
      </w:r>
    </w:p>
    <w:p w:rsidR="002B2925" w:rsidRDefault="002B2925" w:rsidP="00BE255B">
      <w:pPr>
        <w:pStyle w:val="Paragraphedeliste"/>
        <w:numPr>
          <w:ilvl w:val="0"/>
          <w:numId w:val="7"/>
        </w:numPr>
        <w:spacing w:before="100" w:beforeAutospacing="1" w:after="100" w:afterAutospacing="1" w:line="240" w:lineRule="auto"/>
        <w:jc w:val="left"/>
        <w:rPr>
          <w:rFonts w:ascii="Traditional Arabic" w:eastAsia="Times New Roman" w:hAnsi="Traditional Arabic" w:cs="Traditional Arabic"/>
          <w:sz w:val="28"/>
          <w:szCs w:val="28"/>
          <w:lang w:eastAsia="fr-FR"/>
        </w:rPr>
      </w:pPr>
      <w:r w:rsidRPr="002B2925">
        <w:rPr>
          <w:rFonts w:ascii="Traditional Arabic" w:eastAsia="Times New Roman" w:hAnsi="Traditional Arabic" w:cs="Traditional Arabic"/>
          <w:sz w:val="28"/>
          <w:szCs w:val="28"/>
          <w:lang w:eastAsia="fr-FR"/>
        </w:rPr>
        <w:t>Statistique et documents relatifs au Sénatus-consulte sur la propriété arabe 1863</w:t>
      </w:r>
      <w:r>
        <w:rPr>
          <w:rFonts w:ascii="Traditional Arabic" w:eastAsia="Times New Roman" w:hAnsi="Traditional Arabic" w:cs="Traditional Arabic"/>
          <w:sz w:val="28"/>
          <w:szCs w:val="28"/>
          <w:lang w:eastAsia="fr-FR"/>
        </w:rPr>
        <w:t xml:space="preserve"> </w:t>
      </w:r>
      <w:r w:rsidRPr="002B2925">
        <w:rPr>
          <w:rFonts w:ascii="Traditional Arabic" w:eastAsia="Times New Roman" w:hAnsi="Traditional Arabic" w:cs="Traditional Arabic"/>
          <w:sz w:val="28"/>
          <w:szCs w:val="28"/>
          <w:lang w:eastAsia="fr-FR"/>
        </w:rPr>
        <w:t>Impr. Impériale, Paris,</w:t>
      </w:r>
      <w:r w:rsidRPr="002B2925">
        <w:rPr>
          <w:rFonts w:ascii="Traditional Arabic" w:hAnsi="Traditional Arabic" w:cs="Traditional Arabic"/>
          <w:sz w:val="28"/>
          <w:szCs w:val="28"/>
        </w:rPr>
        <w:t xml:space="preserve"> </w:t>
      </w:r>
      <w:hyperlink r:id="rId10" w:tgtFrame="_blank" w:history="1">
        <w:r w:rsidRPr="002B2925">
          <w:rPr>
            <w:rFonts w:ascii="Traditional Arabic" w:eastAsia="Times New Roman" w:hAnsi="Traditional Arabic" w:cs="Traditional Arabic"/>
            <w:color w:val="0000FF"/>
            <w:sz w:val="28"/>
            <w:szCs w:val="28"/>
            <w:u w:val="single"/>
            <w:lang w:eastAsia="fr-FR"/>
          </w:rPr>
          <w:t>http://catalogue.bnf.fr/ark:/12148/cb364911844</w:t>
        </w:r>
      </w:hyperlink>
      <w:r w:rsidR="00327ED5">
        <w:rPr>
          <w:rFonts w:ascii="Traditional Arabic" w:eastAsia="Times New Roman" w:hAnsi="Traditional Arabic" w:cs="Traditional Arabic"/>
          <w:sz w:val="28"/>
          <w:szCs w:val="28"/>
          <w:lang w:eastAsia="fr-FR"/>
        </w:rPr>
        <w:t>.</w:t>
      </w:r>
    </w:p>
    <w:p w:rsidR="00327ED5" w:rsidRPr="002B2925" w:rsidRDefault="00327ED5" w:rsidP="00BE255B">
      <w:pPr>
        <w:pStyle w:val="Paragraphedeliste"/>
        <w:numPr>
          <w:ilvl w:val="0"/>
          <w:numId w:val="7"/>
        </w:numPr>
        <w:spacing w:before="100" w:beforeAutospacing="1" w:after="100" w:afterAutospacing="1" w:line="240" w:lineRule="auto"/>
        <w:jc w:val="left"/>
        <w:rPr>
          <w:rFonts w:ascii="Traditional Arabic" w:eastAsia="Times New Roman" w:hAnsi="Traditional Arabic" w:cs="Traditional Arabic"/>
          <w:sz w:val="28"/>
          <w:szCs w:val="28"/>
          <w:rtl/>
          <w:lang w:eastAsia="fr-FR"/>
        </w:rPr>
      </w:pPr>
      <w:r w:rsidRPr="00756138">
        <w:rPr>
          <w:rFonts w:ascii="Traditional Arabic" w:hAnsi="Traditional Arabic" w:cs="Traditional Arabic"/>
          <w:sz w:val="28"/>
          <w:szCs w:val="28"/>
          <w:lang w:bidi="ar-DZ"/>
        </w:rPr>
        <w:t xml:space="preserve">La question indigène en Algérie au commencement du XXe siècle, mercier Ernost, source, Gallica, bnf, bibliothèque national de </w:t>
      </w:r>
      <w:r>
        <w:rPr>
          <w:rFonts w:ascii="Traditional Arabic" w:hAnsi="Traditional Arabic" w:cs="Traditional Arabic"/>
          <w:sz w:val="28"/>
          <w:szCs w:val="28"/>
          <w:lang w:bidi="ar-DZ"/>
        </w:rPr>
        <w:t>France.</w:t>
      </w:r>
    </w:p>
    <w:p w:rsidR="0005529F" w:rsidRDefault="0005529F" w:rsidP="00BE255B">
      <w:pPr>
        <w:jc w:val="left"/>
        <w:rPr>
          <w:rFonts w:ascii="Traditional Arabic" w:hAnsi="Traditional Arabic" w:cs="Traditional Arabic"/>
          <w:sz w:val="28"/>
          <w:szCs w:val="28"/>
          <w:rtl/>
          <w:lang w:bidi="ar-DZ"/>
        </w:rPr>
      </w:pPr>
    </w:p>
    <w:p w:rsidR="00276DA7" w:rsidRDefault="00276DA7" w:rsidP="00BE255B">
      <w:pPr>
        <w:jc w:val="left"/>
        <w:rPr>
          <w:rtl/>
          <w:lang w:bidi="ar-DZ"/>
        </w:rPr>
      </w:pPr>
    </w:p>
    <w:p w:rsidR="00542DEA" w:rsidRDefault="00542DEA" w:rsidP="00BE255B">
      <w:pPr>
        <w:spacing w:after="120" w:line="264" w:lineRule="auto"/>
        <w:jc w:val="left"/>
        <w:rPr>
          <w:rFonts w:ascii="Traditional Arabic" w:eastAsia="MingLiU-ExtB" w:hAnsi="Traditional Arabic" w:cs="Traditional Arabic"/>
          <w:sz w:val="32"/>
          <w:szCs w:val="32"/>
          <w:rtl/>
          <w:lang w:bidi="ar-DZ"/>
        </w:rPr>
      </w:pPr>
    </w:p>
    <w:p w:rsidR="00542DEA" w:rsidRDefault="00542DEA" w:rsidP="00BE255B">
      <w:pPr>
        <w:spacing w:after="120" w:line="264" w:lineRule="auto"/>
        <w:jc w:val="left"/>
        <w:rPr>
          <w:rFonts w:ascii="Traditional Arabic" w:eastAsia="MingLiU-ExtB" w:hAnsi="Traditional Arabic" w:cs="Traditional Arabic"/>
          <w:sz w:val="32"/>
          <w:szCs w:val="32"/>
          <w:rtl/>
          <w:lang w:bidi="ar-DZ"/>
        </w:rPr>
      </w:pPr>
    </w:p>
    <w:p w:rsidR="00542DEA" w:rsidRDefault="00542DEA" w:rsidP="00B61A3B">
      <w:pPr>
        <w:bidi/>
        <w:spacing w:after="120" w:line="264" w:lineRule="auto"/>
        <w:jc w:val="left"/>
        <w:rPr>
          <w:rFonts w:ascii="Traditional Arabic" w:eastAsia="MingLiU-ExtB" w:hAnsi="Traditional Arabic" w:cs="Traditional Arabic"/>
          <w:sz w:val="32"/>
          <w:szCs w:val="32"/>
          <w:rtl/>
          <w:lang w:bidi="ar-DZ"/>
        </w:rPr>
      </w:pPr>
    </w:p>
    <w:p w:rsidR="009C10F4" w:rsidRDefault="009C10F4" w:rsidP="00B61A3B">
      <w:pPr>
        <w:bidi/>
        <w:spacing w:after="120" w:line="264" w:lineRule="auto"/>
        <w:jc w:val="left"/>
        <w:rPr>
          <w:rFonts w:ascii="Traditional Arabic" w:eastAsia="MingLiU-ExtB" w:hAnsi="Traditional Arabic" w:cs="Traditional Arabic"/>
          <w:sz w:val="32"/>
          <w:szCs w:val="32"/>
          <w:rtl/>
          <w:lang w:bidi="ar-DZ"/>
        </w:rPr>
      </w:pPr>
    </w:p>
    <w:p w:rsidR="009C10F4" w:rsidRDefault="009C10F4" w:rsidP="00B61A3B">
      <w:pPr>
        <w:bidi/>
        <w:spacing w:after="120" w:line="264" w:lineRule="auto"/>
        <w:jc w:val="left"/>
        <w:rPr>
          <w:rFonts w:ascii="Traditional Arabic" w:eastAsia="MingLiU-ExtB" w:hAnsi="Traditional Arabic" w:cs="Traditional Arabic"/>
          <w:sz w:val="32"/>
          <w:szCs w:val="32"/>
          <w:rtl/>
          <w:lang w:bidi="ar-DZ"/>
        </w:rPr>
      </w:pPr>
    </w:p>
    <w:p w:rsidR="00D7214E" w:rsidRPr="0077325E" w:rsidRDefault="00D7214E" w:rsidP="00D7214E">
      <w:pPr>
        <w:bidi/>
        <w:spacing w:after="120" w:line="264" w:lineRule="auto"/>
        <w:rPr>
          <w:rFonts w:ascii="Traditional Arabic" w:eastAsiaTheme="minorEastAsia" w:hAnsi="Traditional Arabic" w:cs="Traditional Arabic"/>
          <w:sz w:val="32"/>
          <w:szCs w:val="32"/>
          <w:rtl/>
          <w:lang w:bidi="ar-DZ"/>
        </w:rPr>
      </w:pPr>
    </w:p>
    <w:sectPr w:rsidR="00D7214E" w:rsidRPr="0077325E">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1F71" w:rsidRDefault="00061F71" w:rsidP="00543727">
      <w:pPr>
        <w:spacing w:after="0" w:line="240" w:lineRule="auto"/>
      </w:pPr>
      <w:r>
        <w:separator/>
      </w:r>
    </w:p>
  </w:endnote>
  <w:endnote w:type="continuationSeparator" w:id="0">
    <w:p w:rsidR="00061F71" w:rsidRDefault="00061F71" w:rsidP="005437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MingLiU-ExtB">
    <w:panose1 w:val="02020500000000000000"/>
    <w:charset w:val="88"/>
    <w:family w:val="roman"/>
    <w:pitch w:val="variable"/>
    <w:sig w:usb0="8000002F" w:usb1="0A080008" w:usb2="00000010" w:usb3="00000000" w:csb0="00100001"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7702315"/>
      <w:docPartObj>
        <w:docPartGallery w:val="Page Numbers (Bottom of Page)"/>
        <w:docPartUnique/>
      </w:docPartObj>
    </w:sdtPr>
    <w:sdtEndPr/>
    <w:sdtContent>
      <w:p w:rsidR="00B75EDF" w:rsidRDefault="00B75EDF">
        <w:pPr>
          <w:pStyle w:val="Pieddepage"/>
          <w:jc w:val="center"/>
        </w:pPr>
        <w:r>
          <w:fldChar w:fldCharType="begin"/>
        </w:r>
        <w:r>
          <w:instrText>PAGE   \* MERGEFORMAT</w:instrText>
        </w:r>
        <w:r>
          <w:fldChar w:fldCharType="separate"/>
        </w:r>
        <w:r w:rsidR="00BC7EB5">
          <w:rPr>
            <w:noProof/>
          </w:rPr>
          <w:t>1</w:t>
        </w:r>
        <w:r>
          <w:fldChar w:fldCharType="end"/>
        </w:r>
      </w:p>
    </w:sdtContent>
  </w:sdt>
  <w:p w:rsidR="00B75EDF" w:rsidRDefault="00B75EDF">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1F71" w:rsidRDefault="00061F71" w:rsidP="00543727">
      <w:pPr>
        <w:spacing w:after="0" w:line="240" w:lineRule="auto"/>
      </w:pPr>
      <w:r>
        <w:separator/>
      </w:r>
    </w:p>
  </w:footnote>
  <w:footnote w:type="continuationSeparator" w:id="0">
    <w:p w:rsidR="00061F71" w:rsidRDefault="00061F71" w:rsidP="00543727">
      <w:pPr>
        <w:spacing w:after="0" w:line="240" w:lineRule="auto"/>
      </w:pPr>
      <w:r>
        <w:continuationSeparator/>
      </w:r>
    </w:p>
  </w:footnote>
  <w:footnote w:id="1">
    <w:p w:rsidR="00543727" w:rsidRPr="00B61A3B" w:rsidRDefault="00543727" w:rsidP="00B61A3B">
      <w:pPr>
        <w:pStyle w:val="Notedebasdepage"/>
        <w:jc w:val="left"/>
        <w:rPr>
          <w:rFonts w:ascii="Traditional Arabic" w:hAnsi="Traditional Arabic" w:cs="Traditional Arabic"/>
          <w:sz w:val="28"/>
          <w:szCs w:val="28"/>
          <w:lang w:bidi="ar-DZ"/>
        </w:rPr>
      </w:pPr>
      <w:r w:rsidRPr="00B61A3B">
        <w:rPr>
          <w:rStyle w:val="Appelnotedebasdep"/>
          <w:rFonts w:ascii="Traditional Arabic" w:hAnsi="Traditional Arabic" w:cs="Traditional Arabic"/>
          <w:sz w:val="28"/>
          <w:szCs w:val="28"/>
        </w:rPr>
        <w:footnoteRef/>
      </w:r>
      <w:r w:rsidRPr="00B61A3B">
        <w:rPr>
          <w:rFonts w:ascii="Traditional Arabic" w:hAnsi="Traditional Arabic" w:cs="Traditional Arabic"/>
          <w:sz w:val="28"/>
          <w:szCs w:val="28"/>
        </w:rPr>
        <w:t xml:space="preserve"> Spillmann Geoger, Arabe d’Algérie, Revue souvenir napoléonien, N266, Octobre 1972, p.p 1.2.</w:t>
      </w:r>
    </w:p>
  </w:footnote>
  <w:footnote w:id="2">
    <w:p w:rsidR="00543727" w:rsidRPr="00B61A3B" w:rsidRDefault="00543727" w:rsidP="00B61A3B">
      <w:pPr>
        <w:pStyle w:val="Notedebasdepage"/>
        <w:jc w:val="left"/>
        <w:rPr>
          <w:rFonts w:ascii="Traditional Arabic" w:hAnsi="Traditional Arabic" w:cs="Traditional Arabic"/>
          <w:sz w:val="28"/>
          <w:szCs w:val="28"/>
          <w:rtl/>
          <w:lang w:bidi="ar-DZ"/>
        </w:rPr>
      </w:pPr>
      <w:r w:rsidRPr="00B61A3B">
        <w:rPr>
          <w:rStyle w:val="Appelnotedebasdep"/>
          <w:rFonts w:ascii="Traditional Arabic" w:hAnsi="Traditional Arabic" w:cs="Traditional Arabic"/>
          <w:sz w:val="28"/>
          <w:szCs w:val="28"/>
        </w:rPr>
        <w:footnoteRef/>
      </w:r>
      <w:r w:rsidRPr="00B61A3B">
        <w:rPr>
          <w:rFonts w:ascii="Traditional Arabic" w:hAnsi="Traditional Arabic" w:cs="Traditional Arabic"/>
          <w:sz w:val="28"/>
          <w:szCs w:val="28"/>
        </w:rPr>
        <w:t xml:space="preserve"> Ch, Robert Ageron, histoire de l’Algérie contemporaine, neuvième édition presses universitaires de France, avril, 1990, p9.</w:t>
      </w:r>
    </w:p>
  </w:footnote>
  <w:footnote w:id="3">
    <w:p w:rsidR="00FE0DA4" w:rsidRPr="00B61A3B" w:rsidRDefault="00FE0DA4" w:rsidP="00B61A3B">
      <w:pPr>
        <w:pStyle w:val="Notedebasdepage"/>
        <w:jc w:val="left"/>
        <w:rPr>
          <w:rFonts w:ascii="Traditional Arabic" w:hAnsi="Traditional Arabic" w:cs="Traditional Arabic"/>
          <w:sz w:val="28"/>
          <w:szCs w:val="28"/>
          <w:rtl/>
          <w:lang w:bidi="ar-DZ"/>
        </w:rPr>
      </w:pPr>
      <w:r w:rsidRPr="00B61A3B">
        <w:rPr>
          <w:rStyle w:val="Appelnotedebasdep"/>
          <w:rFonts w:ascii="Traditional Arabic" w:hAnsi="Traditional Arabic" w:cs="Traditional Arabic"/>
          <w:sz w:val="28"/>
          <w:szCs w:val="28"/>
        </w:rPr>
        <w:footnoteRef/>
      </w:r>
      <w:r w:rsidRPr="00B61A3B">
        <w:rPr>
          <w:rFonts w:ascii="Traditional Arabic" w:hAnsi="Traditional Arabic" w:cs="Traditional Arabic"/>
          <w:sz w:val="28"/>
          <w:szCs w:val="28"/>
        </w:rPr>
        <w:t xml:space="preserve"> Collection des actes du Gouvernement général depuis l’occupation d’Alger jusqu’au 1 octobre 1834, paris imprimerie impériale,1862, pp. 1.2.</w:t>
      </w:r>
    </w:p>
  </w:footnote>
  <w:footnote w:id="4">
    <w:p w:rsidR="00FE0DA4" w:rsidRPr="009D727F" w:rsidRDefault="00FE0DA4" w:rsidP="00B61A3B">
      <w:pPr>
        <w:pStyle w:val="Notedebasdepage"/>
        <w:jc w:val="left"/>
        <w:rPr>
          <w:rFonts w:ascii="Simplified Arabic" w:hAnsi="Simplified Arabic" w:cs="Simplified Arabic"/>
          <w:sz w:val="24"/>
          <w:szCs w:val="24"/>
          <w:lang w:bidi="ar-DZ"/>
        </w:rPr>
      </w:pPr>
      <w:r w:rsidRPr="00B61A3B">
        <w:rPr>
          <w:rStyle w:val="Appelnotedebasdep"/>
          <w:rFonts w:ascii="Traditional Arabic" w:hAnsi="Traditional Arabic" w:cs="Traditional Arabic"/>
          <w:sz w:val="28"/>
          <w:szCs w:val="28"/>
        </w:rPr>
        <w:footnoteRef/>
      </w:r>
      <w:r w:rsidRPr="00B61A3B">
        <w:rPr>
          <w:rFonts w:ascii="Traditional Arabic" w:hAnsi="Traditional Arabic" w:cs="Traditional Arabic"/>
          <w:sz w:val="28"/>
          <w:szCs w:val="28"/>
        </w:rPr>
        <w:t xml:space="preserve"> </w:t>
      </w:r>
      <w:r w:rsidRPr="00B61A3B">
        <w:rPr>
          <w:rFonts w:ascii="Traditional Arabic" w:hAnsi="Traditional Arabic" w:cs="Traditional Arabic"/>
          <w:sz w:val="28"/>
          <w:szCs w:val="28"/>
          <w:lang w:bidi="ar-DZ"/>
        </w:rPr>
        <w:t>Yerri Urban, race et nationalité dans le droit colonail français 1865-1955 unuversité de de Bourgogne, 2009, France, https</w:t>
      </w:r>
      <w:r w:rsidRPr="00B61A3B">
        <w:rPr>
          <w:rFonts w:ascii="Traditional Arabic" w:hAnsi="Traditional Arabic" w:cs="Traditional Arabic"/>
          <w:sz w:val="28"/>
          <w:szCs w:val="28"/>
          <w:rtl/>
          <w:lang w:bidi="ar-DZ"/>
        </w:rPr>
        <w:t>:</w:t>
      </w:r>
      <w:r w:rsidRPr="00B61A3B">
        <w:rPr>
          <w:rFonts w:ascii="Traditional Arabic" w:hAnsi="Traditional Arabic" w:cs="Traditional Arabic"/>
          <w:sz w:val="28"/>
          <w:szCs w:val="28"/>
          <w:lang w:bidi="ar-DZ"/>
        </w:rPr>
        <w:t>//hal.archives.ouvertes.fr</w:t>
      </w:r>
    </w:p>
  </w:footnote>
  <w:footnote w:id="5">
    <w:p w:rsidR="00FE0DA4" w:rsidRPr="00432DBE" w:rsidRDefault="00FE0DA4" w:rsidP="00B61A3B">
      <w:pPr>
        <w:pStyle w:val="Notedebasdepage"/>
        <w:jc w:val="left"/>
        <w:rPr>
          <w:rFonts w:ascii="Traditional Arabic" w:hAnsi="Traditional Arabic" w:cs="Traditional Arabic"/>
          <w:sz w:val="28"/>
          <w:szCs w:val="28"/>
          <w:lang w:bidi="ar-DZ"/>
        </w:rPr>
      </w:pPr>
      <w:r w:rsidRPr="00432DBE">
        <w:rPr>
          <w:rStyle w:val="Appelnotedebasdep"/>
          <w:rFonts w:ascii="Traditional Arabic" w:hAnsi="Traditional Arabic" w:cs="Traditional Arabic"/>
          <w:sz w:val="28"/>
          <w:szCs w:val="28"/>
        </w:rPr>
        <w:footnoteRef/>
      </w:r>
      <w:r w:rsidRPr="00432DBE">
        <w:rPr>
          <w:rFonts w:ascii="Traditional Arabic" w:hAnsi="Traditional Arabic" w:cs="Traditional Arabic"/>
          <w:sz w:val="28"/>
          <w:szCs w:val="28"/>
        </w:rPr>
        <w:t xml:space="preserve"> Ibid, p 134.</w:t>
      </w:r>
    </w:p>
  </w:footnote>
  <w:footnote w:id="6">
    <w:p w:rsidR="009120E8" w:rsidRPr="009120E8" w:rsidRDefault="009120E8" w:rsidP="00B61A3B">
      <w:pPr>
        <w:pStyle w:val="Notedebasdepage"/>
        <w:jc w:val="left"/>
        <w:rPr>
          <w:rFonts w:ascii="Traditional Arabic" w:hAnsi="Traditional Arabic" w:cs="Traditional Arabic"/>
          <w:sz w:val="28"/>
          <w:szCs w:val="28"/>
          <w:lang w:bidi="ar-DZ"/>
        </w:rPr>
      </w:pPr>
      <w:r w:rsidRPr="009120E8">
        <w:rPr>
          <w:rStyle w:val="Appelnotedebasdep"/>
          <w:rFonts w:ascii="Traditional Arabic" w:hAnsi="Traditional Arabic" w:cs="Traditional Arabic"/>
          <w:sz w:val="28"/>
          <w:szCs w:val="28"/>
        </w:rPr>
        <w:footnoteRef/>
      </w:r>
      <w:r w:rsidRPr="009120E8">
        <w:rPr>
          <w:rFonts w:ascii="Traditional Arabic" w:hAnsi="Traditional Arabic" w:cs="Traditional Arabic"/>
          <w:sz w:val="28"/>
          <w:szCs w:val="28"/>
        </w:rPr>
        <w:t xml:space="preserve"> </w:t>
      </w:r>
      <w:r w:rsidRPr="009120E8">
        <w:rPr>
          <w:rFonts w:ascii="Traditional Arabic" w:hAnsi="Traditional Arabic" w:cs="Traditional Arabic"/>
          <w:sz w:val="28"/>
          <w:szCs w:val="28"/>
          <w:lang w:bidi="ar-DZ"/>
        </w:rPr>
        <w:t>E.U.G. Fourmestraux, les idées napoléoniennes, en Algérie, challamel Ainé, libraire, Editeur, France, 1860, p 6.</w:t>
      </w:r>
    </w:p>
  </w:footnote>
  <w:footnote w:id="7">
    <w:p w:rsidR="009120E8" w:rsidRPr="009D727F" w:rsidRDefault="009120E8" w:rsidP="00B61A3B">
      <w:pPr>
        <w:pStyle w:val="Notedebasdepage"/>
        <w:jc w:val="left"/>
        <w:rPr>
          <w:sz w:val="24"/>
          <w:szCs w:val="24"/>
          <w:lang w:val="en-US" w:bidi="ar-DZ"/>
        </w:rPr>
      </w:pPr>
      <w:r w:rsidRPr="009120E8">
        <w:rPr>
          <w:rStyle w:val="Appelnotedebasdep"/>
          <w:rFonts w:ascii="Traditional Arabic" w:hAnsi="Traditional Arabic" w:cs="Traditional Arabic"/>
          <w:sz w:val="28"/>
          <w:szCs w:val="28"/>
        </w:rPr>
        <w:footnoteRef/>
      </w:r>
      <w:r w:rsidRPr="009120E8">
        <w:rPr>
          <w:rFonts w:ascii="Traditional Arabic" w:hAnsi="Traditional Arabic" w:cs="Traditional Arabic"/>
          <w:sz w:val="28"/>
          <w:szCs w:val="28"/>
          <w:lang w:val="en-US"/>
        </w:rPr>
        <w:t xml:space="preserve"> </w:t>
      </w:r>
      <w:r w:rsidRPr="009120E8">
        <w:rPr>
          <w:rFonts w:ascii="Traditional Arabic" w:hAnsi="Traditional Arabic" w:cs="Traditional Arabic"/>
          <w:sz w:val="28"/>
          <w:szCs w:val="28"/>
          <w:lang w:val="en-US" w:bidi="ar-DZ"/>
        </w:rPr>
        <w:t>Ibid. ;p 7.</w:t>
      </w:r>
    </w:p>
  </w:footnote>
  <w:footnote w:id="8">
    <w:p w:rsidR="009120E8" w:rsidRPr="009120E8" w:rsidRDefault="009120E8" w:rsidP="00B61A3B">
      <w:pPr>
        <w:pStyle w:val="Notedebasdepage"/>
        <w:jc w:val="left"/>
        <w:rPr>
          <w:rFonts w:ascii="Traditional Arabic" w:hAnsi="Traditional Arabic" w:cs="Traditional Arabic"/>
          <w:sz w:val="28"/>
          <w:szCs w:val="28"/>
          <w:lang w:val="en-US" w:bidi="ar-DZ"/>
        </w:rPr>
      </w:pPr>
      <w:r w:rsidRPr="009120E8">
        <w:rPr>
          <w:rStyle w:val="Appelnotedebasdep"/>
          <w:rFonts w:ascii="Traditional Arabic" w:hAnsi="Traditional Arabic" w:cs="Traditional Arabic"/>
          <w:sz w:val="28"/>
          <w:szCs w:val="28"/>
        </w:rPr>
        <w:footnoteRef/>
      </w:r>
      <w:r w:rsidRPr="009120E8">
        <w:rPr>
          <w:rFonts w:ascii="Traditional Arabic" w:hAnsi="Traditional Arabic" w:cs="Traditional Arabic"/>
          <w:sz w:val="28"/>
          <w:szCs w:val="28"/>
          <w:lang w:val="en-US"/>
        </w:rPr>
        <w:t xml:space="preserve"> </w:t>
      </w:r>
      <w:r w:rsidRPr="009120E8">
        <w:rPr>
          <w:rFonts w:ascii="Traditional Arabic" w:hAnsi="Traditional Arabic" w:cs="Traditional Arabic"/>
          <w:sz w:val="28"/>
          <w:szCs w:val="28"/>
          <w:lang w:val="en-US" w:bidi="ar-DZ"/>
        </w:rPr>
        <w:t>Ibid ;, p 8.</w:t>
      </w:r>
    </w:p>
  </w:footnote>
  <w:footnote w:id="9">
    <w:p w:rsidR="009120E8" w:rsidRDefault="009120E8" w:rsidP="00B61A3B">
      <w:pPr>
        <w:pStyle w:val="Notedebasdepage"/>
        <w:jc w:val="left"/>
        <w:rPr>
          <w:rtl/>
          <w:lang w:bidi="ar-DZ"/>
        </w:rPr>
      </w:pPr>
      <w:r w:rsidRPr="009120E8">
        <w:rPr>
          <w:rStyle w:val="Appelnotedebasdep"/>
          <w:rFonts w:ascii="Traditional Arabic" w:hAnsi="Traditional Arabic" w:cs="Traditional Arabic"/>
          <w:sz w:val="28"/>
          <w:szCs w:val="28"/>
        </w:rPr>
        <w:footnoteRef/>
      </w:r>
      <w:r w:rsidRPr="00CC67B5">
        <w:rPr>
          <w:rFonts w:ascii="Traditional Arabic" w:hAnsi="Traditional Arabic" w:cs="Traditional Arabic"/>
          <w:sz w:val="28"/>
          <w:szCs w:val="28"/>
          <w:lang w:val="en-US"/>
        </w:rPr>
        <w:t xml:space="preserve"> </w:t>
      </w:r>
      <w:r w:rsidRPr="009120E8">
        <w:rPr>
          <w:rStyle w:val="Appelnotedebasdep"/>
          <w:rFonts w:ascii="Traditional Arabic" w:hAnsi="Traditional Arabic" w:cs="Traditional Arabic"/>
          <w:sz w:val="28"/>
          <w:szCs w:val="28"/>
        </w:rPr>
        <w:footnoteRef/>
      </w:r>
      <w:r w:rsidRPr="009120E8">
        <w:rPr>
          <w:rFonts w:ascii="Traditional Arabic" w:hAnsi="Traditional Arabic" w:cs="Traditional Arabic"/>
          <w:sz w:val="28"/>
          <w:szCs w:val="28"/>
          <w:lang w:val="en-US"/>
        </w:rPr>
        <w:t xml:space="preserve"> </w:t>
      </w:r>
      <w:r w:rsidRPr="009120E8">
        <w:rPr>
          <w:rFonts w:ascii="Traditional Arabic" w:hAnsi="Traditional Arabic" w:cs="Traditional Arabic"/>
          <w:sz w:val="28"/>
          <w:szCs w:val="28"/>
          <w:lang w:val="en-US" w:bidi="ar-DZ"/>
        </w:rPr>
        <w:t>Ibid, p 28.</w:t>
      </w:r>
    </w:p>
  </w:footnote>
  <w:footnote w:id="10">
    <w:p w:rsidR="002F0E22" w:rsidRPr="002F0E22" w:rsidRDefault="002F0E22" w:rsidP="00B61A3B">
      <w:pPr>
        <w:pStyle w:val="Notedebasdepage"/>
        <w:jc w:val="left"/>
        <w:rPr>
          <w:rFonts w:ascii="Traditional Arabic" w:hAnsi="Traditional Arabic" w:cs="Traditional Arabic"/>
          <w:sz w:val="28"/>
          <w:szCs w:val="28"/>
          <w:lang w:bidi="ar-DZ"/>
        </w:rPr>
      </w:pPr>
      <w:r w:rsidRPr="002F0E22">
        <w:rPr>
          <w:rStyle w:val="Appelnotedebasdep"/>
          <w:rFonts w:ascii="Traditional Arabic" w:hAnsi="Traditional Arabic" w:cs="Traditional Arabic"/>
          <w:sz w:val="28"/>
          <w:szCs w:val="28"/>
        </w:rPr>
        <w:footnoteRef/>
      </w:r>
      <w:r w:rsidRPr="002F0E22">
        <w:rPr>
          <w:rFonts w:ascii="Traditional Arabic" w:hAnsi="Traditional Arabic" w:cs="Traditional Arabic"/>
          <w:sz w:val="28"/>
          <w:szCs w:val="28"/>
        </w:rPr>
        <w:t xml:space="preserve"> </w:t>
      </w:r>
      <w:r w:rsidRPr="002F0E22">
        <w:rPr>
          <w:rFonts w:ascii="Traditional Arabic" w:hAnsi="Traditional Arabic" w:cs="Traditional Arabic"/>
          <w:sz w:val="28"/>
          <w:szCs w:val="28"/>
          <w:lang w:bidi="ar-DZ"/>
        </w:rPr>
        <w:t>Didier Guignard, le sénatus_consulte de 1863 : la dislocation ou programmé de la société rurale algérienne, p1.</w:t>
      </w:r>
    </w:p>
  </w:footnote>
  <w:footnote w:id="11">
    <w:p w:rsidR="00A17B42" w:rsidRPr="00A17B42" w:rsidRDefault="00A17B42" w:rsidP="00B61A3B">
      <w:pPr>
        <w:pStyle w:val="Notedebasdepage"/>
        <w:jc w:val="left"/>
        <w:rPr>
          <w:rFonts w:ascii="Traditional Arabic" w:hAnsi="Traditional Arabic" w:cs="Traditional Arabic"/>
          <w:sz w:val="28"/>
          <w:szCs w:val="28"/>
          <w:rtl/>
          <w:lang w:bidi="ar-DZ"/>
        </w:rPr>
      </w:pPr>
      <w:r w:rsidRPr="00A17B42">
        <w:rPr>
          <w:rStyle w:val="Appelnotedebasdep"/>
          <w:rFonts w:ascii="Traditional Arabic" w:hAnsi="Traditional Arabic" w:cs="Traditional Arabic"/>
          <w:sz w:val="28"/>
          <w:szCs w:val="28"/>
        </w:rPr>
        <w:footnoteRef/>
      </w:r>
      <w:r w:rsidRPr="00A17B42">
        <w:rPr>
          <w:rFonts w:ascii="Traditional Arabic" w:hAnsi="Traditional Arabic" w:cs="Traditional Arabic"/>
          <w:sz w:val="28"/>
          <w:szCs w:val="28"/>
        </w:rPr>
        <w:t xml:space="preserve">  </w:t>
      </w:r>
      <w:r w:rsidRPr="00A17B42">
        <w:rPr>
          <w:rFonts w:ascii="Traditional Arabic" w:hAnsi="Traditional Arabic" w:cs="Traditional Arabic"/>
          <w:sz w:val="28"/>
          <w:szCs w:val="28"/>
          <w:lang w:bidi="ar-DZ"/>
        </w:rPr>
        <w:t>Alain sainte _marie, l’application du sénatus-consulte du 22 avril 1863 dans la province d’Alger, in cahiers de la méditerranée, N 03, 1971, p.p. 15-17.</w:t>
      </w:r>
    </w:p>
  </w:footnote>
  <w:footnote w:id="12">
    <w:p w:rsidR="00A17B42" w:rsidRPr="009D727F" w:rsidRDefault="00A17B42" w:rsidP="00B61A3B">
      <w:pPr>
        <w:pStyle w:val="Notedebasdepage"/>
        <w:jc w:val="left"/>
        <w:rPr>
          <w:rFonts w:ascii="Simplified Arabic" w:hAnsi="Simplified Arabic" w:cs="Simplified Arabic"/>
          <w:sz w:val="24"/>
          <w:szCs w:val="24"/>
          <w:lang w:val="en-US"/>
        </w:rPr>
      </w:pPr>
      <w:r w:rsidRPr="009D727F">
        <w:rPr>
          <w:rStyle w:val="Appelnotedebasdep"/>
          <w:rFonts w:ascii="Simplified Arabic" w:hAnsi="Simplified Arabic" w:cs="Simplified Arabic"/>
          <w:sz w:val="24"/>
          <w:szCs w:val="24"/>
        </w:rPr>
        <w:footnoteRef/>
      </w:r>
      <w:r w:rsidRPr="009D727F">
        <w:rPr>
          <w:rFonts w:ascii="Simplified Arabic" w:hAnsi="Simplified Arabic" w:cs="Simplified Arabic"/>
          <w:sz w:val="24"/>
          <w:szCs w:val="24"/>
          <w:lang w:val="en-US"/>
        </w:rPr>
        <w:t xml:space="preserve"> </w:t>
      </w:r>
      <w:r w:rsidRPr="009D727F">
        <w:rPr>
          <w:rFonts w:ascii="Simplified Arabic" w:hAnsi="Simplified Arabic" w:cs="Simplified Arabic"/>
          <w:sz w:val="24"/>
          <w:szCs w:val="24"/>
          <w:lang w:val="en-US" w:bidi="ar-DZ"/>
        </w:rPr>
        <w:t>Ibid, p 20.</w:t>
      </w:r>
    </w:p>
  </w:footnote>
  <w:footnote w:id="13">
    <w:p w:rsidR="00BB4F55" w:rsidRPr="00CC67B5" w:rsidRDefault="00BB4F55" w:rsidP="00B61A3B">
      <w:pPr>
        <w:pStyle w:val="Notedebasdepage"/>
        <w:jc w:val="left"/>
        <w:rPr>
          <w:rFonts w:ascii="Simplified Arabic" w:hAnsi="Simplified Arabic" w:cs="Simplified Arabic"/>
          <w:sz w:val="24"/>
          <w:szCs w:val="24"/>
          <w:lang w:val="en-US" w:bidi="ar-DZ"/>
        </w:rPr>
      </w:pPr>
      <w:r>
        <w:rPr>
          <w:rStyle w:val="Appelnotedebasdep"/>
        </w:rPr>
        <w:footnoteRef/>
      </w:r>
      <w:r w:rsidRPr="00CC67B5">
        <w:rPr>
          <w:lang w:val="en-US"/>
        </w:rPr>
        <w:t xml:space="preserve"> </w:t>
      </w:r>
      <w:r w:rsidRPr="00CC67B5">
        <w:rPr>
          <w:rFonts w:ascii="Simplified Arabic" w:hAnsi="Simplified Arabic" w:cs="Simplified Arabic"/>
          <w:sz w:val="24"/>
          <w:szCs w:val="24"/>
          <w:lang w:val="en-US" w:bidi="ar-DZ"/>
        </w:rPr>
        <w:t>Didier Guignard, op.cit, p 03.</w:t>
      </w:r>
    </w:p>
    <w:p w:rsidR="00205B05" w:rsidRDefault="00205B05" w:rsidP="00B61A3B">
      <w:pPr>
        <w:pStyle w:val="Notedebasdepage"/>
        <w:bidi/>
        <w:jc w:val="left"/>
        <w:rPr>
          <w:rtl/>
          <w:lang w:bidi="ar-DZ"/>
        </w:rPr>
      </w:pPr>
    </w:p>
  </w:footnote>
  <w:footnote w:id="14">
    <w:p w:rsidR="00205B05" w:rsidRPr="009D727F" w:rsidRDefault="00205B05" w:rsidP="00B61A3B">
      <w:pPr>
        <w:pStyle w:val="Notedebasdepage"/>
        <w:jc w:val="left"/>
        <w:rPr>
          <w:rFonts w:ascii="Simplified Arabic" w:hAnsi="Simplified Arabic" w:cs="Simplified Arabic"/>
          <w:sz w:val="24"/>
          <w:szCs w:val="24"/>
          <w:rtl/>
          <w:lang w:bidi="ar-DZ"/>
        </w:rPr>
      </w:pPr>
      <w:r w:rsidRPr="009D727F">
        <w:rPr>
          <w:rStyle w:val="Appelnotedebasdep"/>
          <w:rFonts w:ascii="Simplified Arabic" w:hAnsi="Simplified Arabic" w:cs="Simplified Arabic"/>
          <w:sz w:val="24"/>
          <w:szCs w:val="24"/>
        </w:rPr>
        <w:footnoteRef/>
      </w:r>
      <w:r w:rsidRPr="00205B05">
        <w:rPr>
          <w:rFonts w:ascii="Simplified Arabic" w:hAnsi="Simplified Arabic" w:cs="Simplified Arabic"/>
          <w:sz w:val="24"/>
          <w:szCs w:val="24"/>
        </w:rPr>
        <w:t xml:space="preserve"> </w:t>
      </w:r>
      <w:r w:rsidRPr="009D727F">
        <w:rPr>
          <w:rFonts w:ascii="Simplified Arabic" w:hAnsi="Simplified Arabic" w:cs="Simplified Arabic"/>
          <w:sz w:val="24"/>
          <w:szCs w:val="24"/>
          <w:lang w:bidi="ar-DZ"/>
        </w:rPr>
        <w:t xml:space="preserve">Rodolphe Dareste, de la propriété en Algérie lois du 16 juin 1851_ sénatus_consulte du 22 avril 1863, 2eme édition, imprimerie de AD. </w:t>
      </w:r>
      <w:r w:rsidRPr="00205B05">
        <w:rPr>
          <w:rFonts w:ascii="Simplified Arabic" w:hAnsi="Simplified Arabic" w:cs="Simplified Arabic"/>
          <w:sz w:val="24"/>
          <w:szCs w:val="24"/>
          <w:lang w:bidi="ar-DZ"/>
        </w:rPr>
        <w:t>R</w:t>
      </w:r>
      <w:r>
        <w:rPr>
          <w:rFonts w:ascii="Simplified Arabic" w:hAnsi="Simplified Arabic" w:cs="Simplified Arabic"/>
          <w:sz w:val="24"/>
          <w:szCs w:val="24"/>
          <w:lang w:bidi="ar-DZ"/>
        </w:rPr>
        <w:t xml:space="preserve"> , </w:t>
      </w:r>
      <w:r w:rsidRPr="00205B05">
        <w:rPr>
          <w:rFonts w:ascii="Simplified Arabic" w:hAnsi="Simplified Arabic" w:cs="Simplified Arabic"/>
          <w:sz w:val="24"/>
          <w:szCs w:val="24"/>
          <w:lang w:bidi="ar-DZ"/>
        </w:rPr>
        <w:t>p</w:t>
      </w:r>
      <w:r w:rsidRPr="009D727F">
        <w:rPr>
          <w:rFonts w:ascii="Simplified Arabic" w:hAnsi="Simplified Arabic" w:cs="Simplified Arabic"/>
          <w:sz w:val="24"/>
          <w:szCs w:val="24"/>
          <w:rtl/>
          <w:lang w:bidi="ar-DZ"/>
        </w:rPr>
        <w:t xml:space="preserve">   .241 </w:t>
      </w:r>
    </w:p>
  </w:footnote>
  <w:footnote w:id="15">
    <w:p w:rsidR="00205B05" w:rsidRPr="009D727F" w:rsidRDefault="00205B05" w:rsidP="00B61A3B">
      <w:pPr>
        <w:pStyle w:val="Notedebasdepage"/>
        <w:jc w:val="left"/>
        <w:rPr>
          <w:rFonts w:ascii="Simplified Arabic" w:hAnsi="Simplified Arabic" w:cs="Simplified Arabic"/>
          <w:sz w:val="24"/>
          <w:szCs w:val="24"/>
          <w:rtl/>
          <w:lang w:bidi="ar-DZ"/>
        </w:rPr>
      </w:pPr>
      <w:r w:rsidRPr="009D727F">
        <w:rPr>
          <w:rStyle w:val="Appelnotedebasdep"/>
          <w:rFonts w:ascii="Simplified Arabic" w:hAnsi="Simplified Arabic" w:cs="Simplified Arabic"/>
          <w:sz w:val="24"/>
          <w:szCs w:val="24"/>
        </w:rPr>
        <w:footnoteRef/>
      </w:r>
      <w:r w:rsidRPr="00CC67B5">
        <w:rPr>
          <w:rFonts w:ascii="Simplified Arabic" w:hAnsi="Simplified Arabic" w:cs="Simplified Arabic"/>
          <w:sz w:val="24"/>
          <w:szCs w:val="24"/>
        </w:rPr>
        <w:t xml:space="preserve"> </w:t>
      </w:r>
      <w:r w:rsidRPr="00CC67B5">
        <w:rPr>
          <w:rFonts w:ascii="Simplified Arabic" w:hAnsi="Simplified Arabic" w:cs="Simplified Arabic"/>
          <w:sz w:val="24"/>
          <w:szCs w:val="24"/>
          <w:lang w:bidi="ar-DZ"/>
        </w:rPr>
        <w:t>Ibid, p</w:t>
      </w:r>
      <w:r w:rsidRPr="009D727F">
        <w:rPr>
          <w:rFonts w:ascii="Simplified Arabic" w:hAnsi="Simplified Arabic" w:cs="Simplified Arabic"/>
          <w:sz w:val="24"/>
          <w:szCs w:val="24"/>
          <w:rtl/>
          <w:lang w:bidi="ar-DZ"/>
        </w:rPr>
        <w:t xml:space="preserve"> 243</w:t>
      </w:r>
    </w:p>
  </w:footnote>
  <w:footnote w:id="16">
    <w:p w:rsidR="00205B05" w:rsidRPr="009D727F" w:rsidRDefault="00205B05" w:rsidP="00B61A3B">
      <w:pPr>
        <w:pStyle w:val="Notedebasdepage"/>
        <w:jc w:val="left"/>
        <w:rPr>
          <w:rFonts w:ascii="Simplified Arabic" w:hAnsi="Simplified Arabic" w:cs="Simplified Arabic"/>
          <w:sz w:val="24"/>
          <w:szCs w:val="24"/>
          <w:rtl/>
          <w:lang w:bidi="ar-DZ"/>
        </w:rPr>
      </w:pPr>
      <w:r w:rsidRPr="009D727F">
        <w:rPr>
          <w:rStyle w:val="Appelnotedebasdep"/>
          <w:rFonts w:ascii="Simplified Arabic" w:hAnsi="Simplified Arabic" w:cs="Simplified Arabic"/>
          <w:sz w:val="24"/>
          <w:szCs w:val="24"/>
        </w:rPr>
        <w:footnoteRef/>
      </w:r>
      <w:r w:rsidRPr="00CC67B5">
        <w:rPr>
          <w:rFonts w:ascii="Simplified Arabic" w:hAnsi="Simplified Arabic" w:cs="Simplified Arabic"/>
          <w:sz w:val="24"/>
          <w:szCs w:val="24"/>
        </w:rPr>
        <w:t xml:space="preserve">  </w:t>
      </w:r>
      <w:r w:rsidRPr="00CC67B5">
        <w:rPr>
          <w:rFonts w:ascii="Simplified Arabic" w:hAnsi="Simplified Arabic" w:cs="Simplified Arabic"/>
          <w:sz w:val="24"/>
          <w:szCs w:val="24"/>
          <w:lang w:bidi="ar-DZ"/>
        </w:rPr>
        <w:t>Ibid, p</w:t>
      </w:r>
      <w:r w:rsidRPr="009D727F">
        <w:rPr>
          <w:rFonts w:ascii="Simplified Arabic" w:hAnsi="Simplified Arabic" w:cs="Simplified Arabic"/>
          <w:sz w:val="24"/>
          <w:szCs w:val="24"/>
          <w:rtl/>
          <w:lang w:bidi="ar-DZ"/>
        </w:rPr>
        <w:t xml:space="preserve"> 244</w:t>
      </w:r>
    </w:p>
  </w:footnote>
  <w:footnote w:id="17">
    <w:p w:rsidR="00B46312" w:rsidRPr="00756138" w:rsidRDefault="00B46312" w:rsidP="00E549F8">
      <w:pPr>
        <w:pStyle w:val="Notedebasdepage"/>
        <w:jc w:val="left"/>
        <w:rPr>
          <w:rFonts w:ascii="Traditional Arabic" w:hAnsi="Traditional Arabic" w:cs="Traditional Arabic"/>
          <w:sz w:val="28"/>
          <w:szCs w:val="28"/>
          <w:lang w:bidi="ar-DZ"/>
        </w:rPr>
      </w:pPr>
      <w:r w:rsidRPr="00756138">
        <w:rPr>
          <w:rStyle w:val="Appelnotedebasdep"/>
          <w:rFonts w:ascii="Traditional Arabic" w:hAnsi="Traditional Arabic" w:cs="Traditional Arabic"/>
          <w:sz w:val="28"/>
          <w:szCs w:val="28"/>
        </w:rPr>
        <w:footnoteRef/>
      </w:r>
      <w:r w:rsidRPr="00756138">
        <w:rPr>
          <w:rFonts w:ascii="Traditional Arabic" w:hAnsi="Traditional Arabic" w:cs="Traditional Arabic"/>
          <w:sz w:val="28"/>
          <w:szCs w:val="28"/>
        </w:rPr>
        <w:t xml:space="preserve"> </w:t>
      </w:r>
      <w:r w:rsidRPr="00756138">
        <w:rPr>
          <w:rFonts w:ascii="Traditional Arabic" w:hAnsi="Traditional Arabic" w:cs="Traditional Arabic"/>
          <w:sz w:val="28"/>
          <w:szCs w:val="28"/>
          <w:lang w:bidi="ar-DZ"/>
        </w:rPr>
        <w:t>La question indigène en Algérie au commencement du XXe siècle, mercier Ernost, source, Gallica, bnf, bibliothèque national de France, p 46.</w:t>
      </w:r>
    </w:p>
  </w:footnote>
  <w:footnote w:id="18">
    <w:p w:rsidR="00B46312" w:rsidRPr="00757ED5" w:rsidRDefault="00B46312" w:rsidP="00E549F8">
      <w:pPr>
        <w:pStyle w:val="Notedebasdepage"/>
        <w:jc w:val="left"/>
        <w:rPr>
          <w:rFonts w:ascii="Traditional Arabic" w:hAnsi="Traditional Arabic" w:cs="Traditional Arabic"/>
          <w:sz w:val="28"/>
          <w:szCs w:val="28"/>
        </w:rPr>
      </w:pPr>
      <w:r w:rsidRPr="00757ED5">
        <w:rPr>
          <w:rStyle w:val="Appelnotedebasdep"/>
          <w:rFonts w:ascii="Traditional Arabic" w:hAnsi="Traditional Arabic" w:cs="Traditional Arabic"/>
          <w:sz w:val="28"/>
          <w:szCs w:val="28"/>
        </w:rPr>
        <w:footnoteRef/>
      </w:r>
      <w:r w:rsidRPr="00757ED5">
        <w:rPr>
          <w:rFonts w:ascii="Traditional Arabic" w:hAnsi="Traditional Arabic" w:cs="Traditional Arabic"/>
          <w:sz w:val="28"/>
          <w:szCs w:val="28"/>
        </w:rPr>
        <w:t xml:space="preserve"> </w:t>
      </w:r>
      <w:r w:rsidRPr="00757ED5">
        <w:rPr>
          <w:rFonts w:ascii="Traditional Arabic" w:hAnsi="Traditional Arabic" w:cs="Traditional Arabic"/>
          <w:sz w:val="28"/>
          <w:szCs w:val="28"/>
          <w:lang w:bidi="ar-DZ"/>
        </w:rPr>
        <w:t>Ibid, 52, 53.</w:t>
      </w:r>
    </w:p>
  </w:footnote>
  <w:footnote w:id="19">
    <w:p w:rsidR="00756138" w:rsidRPr="00756138" w:rsidRDefault="00756138" w:rsidP="00E549F8">
      <w:pPr>
        <w:spacing w:before="100" w:beforeAutospacing="1" w:after="100" w:afterAutospacing="1" w:line="240" w:lineRule="auto"/>
        <w:jc w:val="left"/>
        <w:rPr>
          <w:rFonts w:ascii="Traditional Arabic" w:eastAsia="Times New Roman" w:hAnsi="Traditional Arabic" w:cs="Traditional Arabic"/>
          <w:sz w:val="28"/>
          <w:szCs w:val="28"/>
          <w:lang w:eastAsia="fr-FR"/>
        </w:rPr>
      </w:pPr>
      <w:r w:rsidRPr="00756138">
        <w:rPr>
          <w:rStyle w:val="Appelnotedebasdep"/>
          <w:rFonts w:ascii="Traditional Arabic" w:hAnsi="Traditional Arabic" w:cs="Traditional Arabic"/>
          <w:sz w:val="28"/>
          <w:szCs w:val="28"/>
        </w:rPr>
        <w:footnoteRef/>
      </w:r>
      <w:r w:rsidRPr="00756138">
        <w:rPr>
          <w:rFonts w:ascii="Traditional Arabic" w:hAnsi="Traditional Arabic" w:cs="Traditional Arabic"/>
          <w:sz w:val="28"/>
          <w:szCs w:val="28"/>
        </w:rPr>
        <w:t xml:space="preserve"> </w:t>
      </w:r>
      <w:r w:rsidRPr="00756138">
        <w:rPr>
          <w:rFonts w:ascii="Traditional Arabic" w:eastAsia="Times New Roman" w:hAnsi="Traditional Arabic" w:cs="Traditional Arabic"/>
          <w:sz w:val="28"/>
          <w:szCs w:val="28"/>
          <w:lang w:eastAsia="fr-FR"/>
        </w:rPr>
        <w:t>Statistique et documents relatifs au Sénatus-consulte sur la propriété arabe 1863</w:t>
      </w:r>
    </w:p>
    <w:p w:rsidR="00756138" w:rsidRPr="00756138" w:rsidRDefault="00756138" w:rsidP="00E549F8">
      <w:pPr>
        <w:spacing w:before="100" w:beforeAutospacing="1" w:after="100" w:afterAutospacing="1" w:line="240" w:lineRule="auto"/>
        <w:jc w:val="left"/>
        <w:rPr>
          <w:rFonts w:ascii="Traditional Arabic" w:eastAsia="Times New Roman" w:hAnsi="Traditional Arabic" w:cs="Traditional Arabic"/>
          <w:sz w:val="28"/>
          <w:szCs w:val="28"/>
          <w:lang w:eastAsia="fr-FR"/>
        </w:rPr>
      </w:pPr>
      <w:r w:rsidRPr="00756138">
        <w:rPr>
          <w:rFonts w:ascii="Traditional Arabic" w:eastAsia="Times New Roman" w:hAnsi="Traditional Arabic" w:cs="Traditional Arabic"/>
          <w:sz w:val="28"/>
          <w:szCs w:val="28"/>
          <w:lang w:eastAsia="fr-FR"/>
        </w:rPr>
        <w:t>Impr. Impériale, Paris,</w:t>
      </w:r>
      <w:r w:rsidRPr="00756138">
        <w:rPr>
          <w:rFonts w:ascii="Traditional Arabic" w:hAnsi="Traditional Arabic" w:cs="Traditional Arabic"/>
          <w:sz w:val="28"/>
          <w:szCs w:val="28"/>
        </w:rPr>
        <w:t xml:space="preserve"> </w:t>
      </w:r>
      <w:hyperlink r:id="rId1" w:tgtFrame="_blank" w:history="1">
        <w:r w:rsidRPr="00756138">
          <w:rPr>
            <w:rFonts w:ascii="Traditional Arabic" w:eastAsia="Times New Roman" w:hAnsi="Traditional Arabic" w:cs="Traditional Arabic"/>
            <w:color w:val="0000FF"/>
            <w:sz w:val="28"/>
            <w:szCs w:val="28"/>
            <w:u w:val="single"/>
            <w:lang w:eastAsia="fr-FR"/>
          </w:rPr>
          <w:t>http://catalogue.bnf.fr/ark:/12148/cb364911844</w:t>
        </w:r>
      </w:hyperlink>
      <w:r w:rsidRPr="00756138">
        <w:rPr>
          <w:rFonts w:ascii="Traditional Arabic" w:eastAsia="Times New Roman" w:hAnsi="Traditional Arabic" w:cs="Traditional Arabic"/>
          <w:sz w:val="28"/>
          <w:szCs w:val="28"/>
          <w:lang w:eastAsia="fr-FR"/>
        </w:rPr>
        <w:t xml:space="preserve"> </w:t>
      </w:r>
    </w:p>
    <w:p w:rsidR="00756138" w:rsidRPr="009D727F" w:rsidRDefault="00756138" w:rsidP="00E549F8">
      <w:pPr>
        <w:pStyle w:val="Notedebasdepage"/>
        <w:jc w:val="left"/>
        <w:rPr>
          <w:sz w:val="24"/>
          <w:szCs w:val="24"/>
          <w:rtl/>
          <w:lang w:bidi="ar-DZ"/>
        </w:rPr>
      </w:pPr>
    </w:p>
  </w:footnote>
  <w:footnote w:id="20">
    <w:p w:rsidR="00644468" w:rsidRPr="00ED42E3" w:rsidRDefault="00644468" w:rsidP="00E549F8">
      <w:pPr>
        <w:pStyle w:val="Notedebasdepage"/>
        <w:jc w:val="left"/>
        <w:rPr>
          <w:rFonts w:ascii="Traditional Arabic" w:hAnsi="Traditional Arabic" w:cs="Traditional Arabic"/>
          <w:sz w:val="28"/>
          <w:szCs w:val="28"/>
          <w:rtl/>
          <w:lang w:bidi="ar-DZ"/>
        </w:rPr>
      </w:pPr>
      <w:r w:rsidRPr="00ED42E3">
        <w:rPr>
          <w:rStyle w:val="Appelnotedebasdep"/>
          <w:rFonts w:ascii="Traditional Arabic" w:hAnsi="Traditional Arabic" w:cs="Traditional Arabic"/>
          <w:sz w:val="28"/>
          <w:szCs w:val="28"/>
        </w:rPr>
        <w:footnoteRef/>
      </w:r>
      <w:r w:rsidRPr="00ED42E3">
        <w:rPr>
          <w:rFonts w:ascii="Traditional Arabic" w:hAnsi="Traditional Arabic" w:cs="Traditional Arabic"/>
          <w:sz w:val="28"/>
          <w:szCs w:val="28"/>
        </w:rPr>
        <w:t xml:space="preserve"> </w:t>
      </w:r>
      <w:r w:rsidRPr="00ED42E3">
        <w:rPr>
          <w:rFonts w:ascii="Traditional Arabic" w:hAnsi="Traditional Arabic" w:cs="Traditional Arabic"/>
          <w:sz w:val="28"/>
          <w:szCs w:val="28"/>
          <w:rtl/>
          <w:lang w:bidi="ar-DZ"/>
        </w:rPr>
        <w:t>ايلال نور الدين، المرسوم المشيخي 22 أفريل 1863 في الجزائر والمواقف المختلفة منه، جامعة البليدة، ص 7</w:t>
      </w:r>
    </w:p>
  </w:footnote>
  <w:footnote w:id="21">
    <w:p w:rsidR="00ED42E3" w:rsidRDefault="00ED42E3" w:rsidP="00E549F8">
      <w:pPr>
        <w:jc w:val="left"/>
        <w:rPr>
          <w:rtl/>
          <w:lang w:bidi="ar-DZ"/>
        </w:rPr>
      </w:pPr>
      <w:r w:rsidRPr="00ED42E3">
        <w:rPr>
          <w:rStyle w:val="Appelnotedebasdep"/>
          <w:rFonts w:ascii="Traditional Arabic" w:hAnsi="Traditional Arabic" w:cs="Traditional Arabic"/>
          <w:sz w:val="28"/>
          <w:szCs w:val="28"/>
        </w:rPr>
        <w:footnoteRef/>
      </w:r>
      <w:r w:rsidRPr="00ED42E3">
        <w:rPr>
          <w:rFonts w:ascii="Traditional Arabic" w:hAnsi="Traditional Arabic" w:cs="Traditional Arabic"/>
          <w:sz w:val="28"/>
          <w:szCs w:val="28"/>
        </w:rPr>
        <w:t xml:space="preserve"> </w:t>
      </w:r>
      <w:r w:rsidRPr="00ED42E3">
        <w:rPr>
          <w:rFonts w:ascii="Traditional Arabic" w:hAnsi="Traditional Arabic" w:cs="Traditional Arabic"/>
          <w:sz w:val="28"/>
          <w:szCs w:val="28"/>
          <w:rtl/>
          <w:lang w:bidi="ar-DZ"/>
        </w:rPr>
        <w:t>شارل روبير أجيرون، تاريخ الجزائر المعاصرة، تر: عيسى عصفور، منشورات عويدات، بيروت، باريس، ط1، 1982، ص 59.</w:t>
      </w:r>
    </w:p>
  </w:footnote>
  <w:footnote w:id="22">
    <w:p w:rsidR="007272AC" w:rsidRPr="007272AC" w:rsidRDefault="00495A00" w:rsidP="00E549F8">
      <w:pPr>
        <w:pStyle w:val="Notedebasdepage"/>
        <w:jc w:val="left"/>
        <w:rPr>
          <w:rFonts w:ascii="Traditional Arabic" w:hAnsi="Traditional Arabic" w:cs="Traditional Arabic"/>
          <w:sz w:val="28"/>
          <w:szCs w:val="28"/>
          <w:rtl/>
          <w:lang w:bidi="ar-DZ"/>
        </w:rPr>
      </w:pPr>
      <w:r w:rsidRPr="007272AC">
        <w:rPr>
          <w:rStyle w:val="Appelnotedebasdep"/>
          <w:rFonts w:ascii="Traditional Arabic" w:hAnsi="Traditional Arabic" w:cs="Traditional Arabic"/>
          <w:sz w:val="28"/>
          <w:szCs w:val="28"/>
        </w:rPr>
        <w:footnoteRef/>
      </w:r>
      <w:r>
        <w:t xml:space="preserve"> </w:t>
      </w:r>
      <w:r w:rsidR="007272AC" w:rsidRPr="007272AC">
        <w:rPr>
          <w:rFonts w:ascii="Traditional Arabic" w:hAnsi="Traditional Arabic" w:cs="Traditional Arabic"/>
          <w:sz w:val="28"/>
          <w:szCs w:val="28"/>
          <w:rtl/>
          <w:lang w:bidi="ar-DZ"/>
        </w:rPr>
        <w:t>نادية طرشون، سياسة نابليون الثالث العربية، مجلة الدراسات العربية في العلوم الإنسانية والاجتماعية، ص 5.</w:t>
      </w:r>
    </w:p>
    <w:p w:rsidR="00495A00" w:rsidRDefault="00495A00" w:rsidP="00E549F8">
      <w:pPr>
        <w:pStyle w:val="Notedebasdepage"/>
        <w:jc w:val="left"/>
        <w:rPr>
          <w:rtl/>
          <w:lang w:bidi="ar-DZ"/>
        </w:rPr>
      </w:pPr>
    </w:p>
  </w:footnote>
  <w:footnote w:id="23">
    <w:p w:rsidR="00D7214E" w:rsidRPr="00D7214E" w:rsidRDefault="00D7214E" w:rsidP="00E549F8">
      <w:pPr>
        <w:pStyle w:val="Notedebasdepage"/>
        <w:jc w:val="left"/>
        <w:rPr>
          <w:rFonts w:ascii="Traditional Arabic" w:hAnsi="Traditional Arabic" w:cs="Traditional Arabic"/>
          <w:sz w:val="28"/>
          <w:szCs w:val="28"/>
          <w:rtl/>
          <w:lang w:bidi="ar-DZ"/>
        </w:rPr>
      </w:pPr>
      <w:r w:rsidRPr="00D7214E">
        <w:rPr>
          <w:rStyle w:val="Appelnotedebasdep"/>
          <w:rFonts w:ascii="Traditional Arabic" w:hAnsi="Traditional Arabic" w:cs="Traditional Arabic"/>
          <w:sz w:val="28"/>
          <w:szCs w:val="28"/>
        </w:rPr>
        <w:footnoteRef/>
      </w:r>
      <w:r w:rsidRPr="00D7214E">
        <w:rPr>
          <w:rFonts w:ascii="Traditional Arabic" w:hAnsi="Traditional Arabic" w:cs="Traditional Arabic"/>
          <w:sz w:val="28"/>
          <w:szCs w:val="28"/>
        </w:rPr>
        <w:t xml:space="preserve"> </w:t>
      </w:r>
      <w:r w:rsidRPr="00D7214E">
        <w:rPr>
          <w:rFonts w:ascii="Traditional Arabic" w:eastAsia="Times New Roman" w:hAnsi="Traditional Arabic" w:cs="Traditional Arabic"/>
          <w:sz w:val="28"/>
          <w:szCs w:val="28"/>
          <w:lang w:eastAsia="fr-FR"/>
        </w:rPr>
        <w:t>Statistique et documents relatifs au Sénatus-consulte sur la propriété arabe 1863</w:t>
      </w:r>
      <w:r>
        <w:rPr>
          <w:rFonts w:ascii="Traditional Arabic" w:eastAsia="Times New Roman" w:hAnsi="Traditional Arabic" w:cs="Traditional Arabic"/>
          <w:sz w:val="28"/>
          <w:szCs w:val="28"/>
          <w:lang w:eastAsia="fr-FR"/>
        </w:rPr>
        <w:t>, P 25.</w:t>
      </w:r>
    </w:p>
  </w:footnote>
  <w:footnote w:id="24">
    <w:p w:rsidR="00BB65CD" w:rsidRPr="00E66A94" w:rsidRDefault="00BB65CD" w:rsidP="00E549F8">
      <w:pPr>
        <w:pStyle w:val="Notedebasdepage"/>
        <w:bidi/>
        <w:jc w:val="left"/>
        <w:rPr>
          <w:rFonts w:ascii="Traditional Arabic" w:hAnsi="Traditional Arabic" w:cs="Traditional Arabic"/>
          <w:sz w:val="28"/>
          <w:szCs w:val="28"/>
          <w:rtl/>
          <w:lang w:bidi="ar-DZ"/>
        </w:rPr>
      </w:pPr>
      <w:r w:rsidRPr="00E66A94">
        <w:rPr>
          <w:rStyle w:val="Appelnotedebasdep"/>
          <w:rFonts w:ascii="Traditional Arabic" w:hAnsi="Traditional Arabic" w:cs="Traditional Arabic"/>
          <w:sz w:val="28"/>
          <w:szCs w:val="28"/>
        </w:rPr>
        <w:footnoteRef/>
      </w:r>
      <w:r w:rsidRPr="00E66A94">
        <w:rPr>
          <w:rFonts w:ascii="Traditional Arabic" w:hAnsi="Traditional Arabic" w:cs="Traditional Arabic"/>
          <w:sz w:val="28"/>
          <w:szCs w:val="28"/>
        </w:rPr>
        <w:t xml:space="preserve"> </w:t>
      </w:r>
      <w:r w:rsidR="00E66A94" w:rsidRPr="00E66A94">
        <w:rPr>
          <w:rFonts w:ascii="Traditional Arabic" w:hAnsi="Traditional Arabic" w:cs="Traditional Arabic"/>
          <w:sz w:val="28"/>
          <w:szCs w:val="28"/>
          <w:rtl/>
          <w:lang w:bidi="ar-DZ"/>
        </w:rPr>
        <w:t xml:space="preserve"> ايلال نور، المرجع السابق، ص 10.</w:t>
      </w:r>
    </w:p>
  </w:footnote>
  <w:footnote w:id="25">
    <w:p w:rsidR="00CA72A6" w:rsidRPr="004B0105" w:rsidRDefault="00CA72A6" w:rsidP="00E549F8">
      <w:pPr>
        <w:pStyle w:val="Notedebasdepage"/>
        <w:jc w:val="left"/>
        <w:rPr>
          <w:rFonts w:ascii="Traditional Arabic" w:hAnsi="Traditional Arabic" w:cs="Traditional Arabic"/>
          <w:lang w:bidi="ar-DZ"/>
        </w:rPr>
      </w:pPr>
      <w:r w:rsidRPr="004B0105">
        <w:rPr>
          <w:rStyle w:val="Appelnotedebasdep"/>
          <w:rFonts w:ascii="Traditional Arabic" w:hAnsi="Traditional Arabic" w:cs="Traditional Arabic"/>
          <w:sz w:val="28"/>
          <w:szCs w:val="28"/>
        </w:rPr>
        <w:footnoteRef/>
      </w:r>
      <w:r w:rsidRPr="004B0105">
        <w:rPr>
          <w:rFonts w:ascii="Traditional Arabic" w:hAnsi="Traditional Arabic" w:cs="Traditional Arabic"/>
          <w:sz w:val="28"/>
          <w:szCs w:val="28"/>
        </w:rPr>
        <w:t xml:space="preserve"> </w:t>
      </w:r>
      <w:r w:rsidRPr="004B0105">
        <w:rPr>
          <w:rFonts w:ascii="Traditional Arabic" w:hAnsi="Traditional Arabic" w:cs="Traditional Arabic"/>
          <w:sz w:val="28"/>
          <w:szCs w:val="28"/>
          <w:lang w:bidi="ar-DZ"/>
        </w:rPr>
        <w:t>Enfantin Barthélémy, Colonisation de l’Algérie,</w:t>
      </w:r>
      <w:r w:rsidR="004B0105">
        <w:rPr>
          <w:rFonts w:ascii="Traditional Arabic" w:hAnsi="Traditional Arabic" w:cs="Traditional Arabic" w:hint="cs"/>
          <w:sz w:val="28"/>
          <w:szCs w:val="28"/>
          <w:rtl/>
          <w:lang w:bidi="ar-DZ"/>
        </w:rPr>
        <w:t xml:space="preserve"> </w:t>
      </w:r>
      <w:r w:rsidR="0038567C">
        <w:rPr>
          <w:rFonts w:ascii="Traditional Arabic" w:hAnsi="Traditional Arabic" w:cs="Traditional Arabic"/>
          <w:sz w:val="28"/>
          <w:szCs w:val="28"/>
          <w:lang w:bidi="ar-DZ"/>
        </w:rPr>
        <w:t>op.cit</w:t>
      </w:r>
      <w:r w:rsidR="004B0105">
        <w:rPr>
          <w:rFonts w:ascii="Traditional Arabic" w:hAnsi="Traditional Arabic" w:cs="Traditional Arabic"/>
          <w:sz w:val="28"/>
          <w:szCs w:val="28"/>
          <w:lang w:bidi="ar-DZ"/>
        </w:rPr>
        <w:t xml:space="preserve">, </w:t>
      </w:r>
      <w:r w:rsidRPr="004B0105">
        <w:rPr>
          <w:rFonts w:ascii="Traditional Arabic" w:hAnsi="Traditional Arabic" w:cs="Traditional Arabic"/>
          <w:sz w:val="28"/>
          <w:szCs w:val="28"/>
          <w:lang w:bidi="ar-DZ"/>
        </w:rPr>
        <w:t>p 2</w:t>
      </w:r>
    </w:p>
  </w:footnote>
  <w:footnote w:id="26">
    <w:p w:rsidR="00794B80" w:rsidRPr="00794B80" w:rsidRDefault="00794B80" w:rsidP="00E549F8">
      <w:pPr>
        <w:pStyle w:val="Notedebasdepage"/>
        <w:bidi/>
        <w:jc w:val="left"/>
        <w:rPr>
          <w:rtl/>
          <w:lang w:bidi="ar-DZ"/>
        </w:rPr>
      </w:pPr>
      <w:r w:rsidRPr="00794B80">
        <w:rPr>
          <w:rStyle w:val="Appelnotedebasdep"/>
          <w:rFonts w:ascii="Traditional Arabic" w:hAnsi="Traditional Arabic" w:cs="Traditional Arabic"/>
          <w:sz w:val="28"/>
          <w:szCs w:val="28"/>
        </w:rPr>
        <w:footnoteRef/>
      </w:r>
      <w:r w:rsidRPr="00794B80">
        <w:rPr>
          <w:rFonts w:ascii="Traditional Arabic" w:hAnsi="Traditional Arabic" w:cs="Traditional Arabic"/>
          <w:sz w:val="28"/>
          <w:szCs w:val="28"/>
        </w:rPr>
        <w:t xml:space="preserve"> </w:t>
      </w:r>
      <w:r w:rsidRPr="00794B80">
        <w:rPr>
          <w:rFonts w:ascii="Traditional Arabic" w:hAnsi="Traditional Arabic" w:cs="Traditional Arabic"/>
          <w:sz w:val="28"/>
          <w:szCs w:val="28"/>
          <w:rtl/>
          <w:lang w:bidi="ar-DZ"/>
        </w:rPr>
        <w:t xml:space="preserve"> صالح حيمر، المرجع السابق، ص 14</w:t>
      </w:r>
      <w:r>
        <w:rPr>
          <w:rFonts w:hint="cs"/>
          <w:rtl/>
          <w:lang w:bidi="ar-DZ"/>
        </w:rPr>
        <w:t>.</w:t>
      </w:r>
    </w:p>
  </w:footnote>
  <w:footnote w:id="27">
    <w:p w:rsidR="008129FA" w:rsidRDefault="008129FA" w:rsidP="00E549F8">
      <w:pPr>
        <w:pStyle w:val="Notedebasdepage"/>
        <w:jc w:val="left"/>
        <w:rPr>
          <w:rtl/>
          <w:lang w:bidi="ar-DZ"/>
        </w:rPr>
      </w:pPr>
      <w:r>
        <w:rPr>
          <w:rStyle w:val="Appelnotedebasdep"/>
        </w:rPr>
        <w:footnoteRef/>
      </w:r>
      <w:r>
        <w:t xml:space="preserve"> </w:t>
      </w:r>
      <w:r w:rsidRPr="008129FA">
        <w:rPr>
          <w:rFonts w:ascii="Traditional Arabic" w:eastAsia="Times New Roman" w:hAnsi="Traditional Arabic" w:cs="Traditional Arabic"/>
          <w:sz w:val="28"/>
          <w:szCs w:val="28"/>
          <w:lang w:eastAsia="fr-FR"/>
        </w:rPr>
        <w:t xml:space="preserve">Statistique et documents relatifs au Sénatus-consulte sur la propriété arabe 1863, op.cit. p </w:t>
      </w:r>
      <w:r w:rsidRPr="008129FA">
        <w:rPr>
          <w:rFonts w:ascii="Traditional Arabic" w:eastAsia="Times New Roman" w:hAnsi="Traditional Arabic" w:cs="Traditional Arabic"/>
          <w:sz w:val="28"/>
          <w:szCs w:val="28"/>
          <w:rtl/>
          <w:lang w:eastAsia="fr-FR"/>
        </w:rPr>
        <w:t>24</w:t>
      </w:r>
    </w:p>
  </w:footnote>
  <w:footnote w:id="28">
    <w:p w:rsidR="00D073A1" w:rsidRPr="00526891" w:rsidRDefault="00D073A1" w:rsidP="00B61A3B">
      <w:pPr>
        <w:pStyle w:val="Notedebasdepage"/>
        <w:bidi/>
        <w:jc w:val="left"/>
        <w:rPr>
          <w:rFonts w:ascii="Traditional Arabic" w:hAnsi="Traditional Arabic" w:cs="Traditional Arabic"/>
          <w:sz w:val="28"/>
          <w:szCs w:val="28"/>
          <w:rtl/>
          <w:lang w:bidi="ar-DZ"/>
        </w:rPr>
      </w:pPr>
      <w:r w:rsidRPr="00526891">
        <w:rPr>
          <w:rStyle w:val="Appelnotedebasdep"/>
          <w:rFonts w:ascii="Traditional Arabic" w:hAnsi="Traditional Arabic" w:cs="Traditional Arabic"/>
          <w:sz w:val="28"/>
          <w:szCs w:val="28"/>
        </w:rPr>
        <w:footnoteRef/>
      </w:r>
      <w:r w:rsidRPr="00526891">
        <w:rPr>
          <w:rFonts w:ascii="Traditional Arabic" w:hAnsi="Traditional Arabic" w:cs="Traditional Arabic"/>
          <w:sz w:val="28"/>
          <w:szCs w:val="28"/>
        </w:rPr>
        <w:t xml:space="preserve"> </w:t>
      </w:r>
      <w:r w:rsidR="009E2FDC" w:rsidRPr="00526891">
        <w:rPr>
          <w:rFonts w:ascii="Traditional Arabic" w:hAnsi="Traditional Arabic" w:cs="Traditional Arabic"/>
          <w:sz w:val="28"/>
          <w:szCs w:val="28"/>
          <w:rtl/>
          <w:lang w:bidi="ar-DZ"/>
        </w:rPr>
        <w:t>صالح حيمر، قانون السيناتيس كونسيلت 1863 حول الملكية العقارية في الجزائر قراءة تاريخية، جامعة العربي التبسي، تبسة، ص، ص 15.17.</w:t>
      </w:r>
    </w:p>
  </w:footnote>
  <w:footnote w:id="29">
    <w:p w:rsidR="00046383" w:rsidRDefault="00046383" w:rsidP="00B61A3B">
      <w:pPr>
        <w:pStyle w:val="Notedebasdepage"/>
        <w:bidi/>
        <w:jc w:val="left"/>
        <w:rPr>
          <w:rtl/>
          <w:lang w:bidi="ar-DZ"/>
        </w:rPr>
      </w:pPr>
      <w:r>
        <w:rPr>
          <w:rStyle w:val="Appelnotedebasdep"/>
        </w:rPr>
        <w:footnoteRef/>
      </w:r>
      <w:r>
        <w:t xml:space="preserve"> </w:t>
      </w:r>
      <w:r w:rsidR="00AD41DA" w:rsidRPr="00AD41DA">
        <w:rPr>
          <w:rFonts w:ascii="Traditional Arabic" w:hAnsi="Traditional Arabic" w:cs="Traditional Arabic"/>
          <w:sz w:val="28"/>
          <w:szCs w:val="28"/>
          <w:rtl/>
          <w:lang w:bidi="ar-DZ"/>
        </w:rPr>
        <w:t>بورغدة رمضان، مصادرة الأراضي والضرائب والغرامات وأثرها على المجتمع الجزائري، ص 361.</w:t>
      </w:r>
    </w:p>
  </w:footnote>
  <w:footnote w:id="30">
    <w:p w:rsidR="00D415FD" w:rsidRDefault="00D415FD" w:rsidP="00B61A3B">
      <w:pPr>
        <w:pStyle w:val="Notedebasdepage"/>
        <w:bidi/>
        <w:jc w:val="left"/>
        <w:rPr>
          <w:rtl/>
          <w:lang w:bidi="ar-DZ"/>
        </w:rPr>
      </w:pPr>
      <w:r w:rsidRPr="00E94F4C">
        <w:rPr>
          <w:rStyle w:val="Appelnotedebasdep"/>
          <w:rFonts w:ascii="Traditional Arabic" w:hAnsi="Traditional Arabic" w:cs="Traditional Arabic"/>
          <w:sz w:val="28"/>
          <w:szCs w:val="28"/>
        </w:rPr>
        <w:footnoteRef/>
      </w:r>
      <w:r w:rsidRPr="00E94F4C">
        <w:rPr>
          <w:rFonts w:ascii="Traditional Arabic" w:hAnsi="Traditional Arabic" w:cs="Traditional Arabic"/>
          <w:sz w:val="28"/>
          <w:szCs w:val="28"/>
        </w:rPr>
        <w:t xml:space="preserve"> </w:t>
      </w:r>
      <w:r w:rsidRPr="00E94F4C">
        <w:rPr>
          <w:rFonts w:ascii="Traditional Arabic" w:hAnsi="Traditional Arabic" w:cs="Traditional Arabic"/>
          <w:sz w:val="28"/>
          <w:szCs w:val="28"/>
          <w:rtl/>
        </w:rPr>
        <w:t>بن داهة عدة، الاستيطان والصراع حول الملكية في الجزائر ابان الاحتلال الفرنسي للجزائر 1830-1962، ج01، المؤلفات للنشر والتوزيع</w:t>
      </w:r>
      <w:r w:rsidR="00E94F4C" w:rsidRPr="00E94F4C">
        <w:rPr>
          <w:rFonts w:ascii="Traditional Arabic" w:hAnsi="Traditional Arabic" w:cs="Traditional Arabic"/>
          <w:sz w:val="28"/>
          <w:szCs w:val="28"/>
          <w:rtl/>
        </w:rPr>
        <w:t>، الجزائر، 2013، ص 350</w:t>
      </w:r>
      <w:r w:rsidR="00E94F4C">
        <w:rPr>
          <w:rFonts w:hint="cs"/>
          <w:rtl/>
        </w:rPr>
        <w:t>.</w:t>
      </w:r>
    </w:p>
  </w:footnote>
  <w:footnote w:id="31">
    <w:p w:rsidR="00207F13" w:rsidRPr="00207F13" w:rsidRDefault="00207F13" w:rsidP="00B61A3B">
      <w:pPr>
        <w:pStyle w:val="Notedebasdepage"/>
        <w:bidi/>
        <w:jc w:val="left"/>
        <w:rPr>
          <w:rFonts w:ascii="Traditional Arabic" w:hAnsi="Traditional Arabic" w:cs="Traditional Arabic"/>
          <w:rtl/>
          <w:lang w:bidi="ar-DZ"/>
        </w:rPr>
      </w:pPr>
      <w:r w:rsidRPr="00207F13">
        <w:rPr>
          <w:rStyle w:val="Appelnotedebasdep"/>
          <w:rFonts w:ascii="Traditional Arabic" w:hAnsi="Traditional Arabic" w:cs="Traditional Arabic"/>
          <w:sz w:val="28"/>
          <w:szCs w:val="28"/>
        </w:rPr>
        <w:footnoteRef/>
      </w:r>
      <w:r w:rsidRPr="00207F13">
        <w:rPr>
          <w:rFonts w:ascii="Traditional Arabic" w:hAnsi="Traditional Arabic" w:cs="Traditional Arabic"/>
          <w:sz w:val="28"/>
          <w:szCs w:val="28"/>
        </w:rPr>
        <w:t xml:space="preserve"> </w:t>
      </w:r>
      <w:r w:rsidRPr="00207F13">
        <w:rPr>
          <w:rFonts w:ascii="Traditional Arabic" w:hAnsi="Traditional Arabic" w:cs="Traditional Arabic"/>
          <w:sz w:val="28"/>
          <w:szCs w:val="28"/>
          <w:rtl/>
        </w:rPr>
        <w:t>نفسه ص.ص 185.159.</w:t>
      </w:r>
    </w:p>
  </w:footnote>
  <w:footnote w:id="32">
    <w:p w:rsidR="00B12254" w:rsidRPr="00B12254" w:rsidRDefault="00B12254" w:rsidP="00B61A3B">
      <w:pPr>
        <w:pStyle w:val="Notedebasdepage"/>
        <w:bidi/>
        <w:jc w:val="left"/>
        <w:rPr>
          <w:rFonts w:ascii="Traditional Arabic" w:hAnsi="Traditional Arabic" w:cs="Traditional Arabic"/>
          <w:rtl/>
          <w:lang w:bidi="ar-DZ"/>
        </w:rPr>
      </w:pPr>
      <w:r w:rsidRPr="00B12254">
        <w:rPr>
          <w:rStyle w:val="Appelnotedebasdep"/>
          <w:rFonts w:ascii="Traditional Arabic" w:hAnsi="Traditional Arabic" w:cs="Traditional Arabic"/>
          <w:sz w:val="28"/>
          <w:szCs w:val="28"/>
        </w:rPr>
        <w:footnoteRef/>
      </w:r>
      <w:r w:rsidRPr="00B12254">
        <w:rPr>
          <w:rFonts w:ascii="Traditional Arabic" w:hAnsi="Traditional Arabic" w:cs="Traditional Arabic"/>
          <w:sz w:val="28"/>
          <w:szCs w:val="28"/>
        </w:rPr>
        <w:t xml:space="preserve"> </w:t>
      </w:r>
      <w:r w:rsidRPr="00B12254">
        <w:rPr>
          <w:rFonts w:ascii="Traditional Arabic" w:hAnsi="Traditional Arabic" w:cs="Traditional Arabic"/>
          <w:sz w:val="28"/>
          <w:szCs w:val="28"/>
          <w:rtl/>
        </w:rPr>
        <w:t>بورغدة رمضان، مرجع سابق، ص 362.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BD5A02"/>
    <w:multiLevelType w:val="hybridMultilevel"/>
    <w:tmpl w:val="A3BC02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E553859"/>
    <w:multiLevelType w:val="hybridMultilevel"/>
    <w:tmpl w:val="E6CCDD8E"/>
    <w:lvl w:ilvl="0" w:tplc="040C0005">
      <w:start w:val="1"/>
      <w:numFmt w:val="bullet"/>
      <w:lvlText w:val=""/>
      <w:lvlJc w:val="left"/>
      <w:pPr>
        <w:ind w:left="1020" w:hanging="360"/>
      </w:pPr>
      <w:rPr>
        <w:rFonts w:ascii="Wingdings" w:hAnsi="Wingdings" w:hint="default"/>
      </w:rPr>
    </w:lvl>
    <w:lvl w:ilvl="1" w:tplc="040C0003" w:tentative="1">
      <w:start w:val="1"/>
      <w:numFmt w:val="bullet"/>
      <w:lvlText w:val="o"/>
      <w:lvlJc w:val="left"/>
      <w:pPr>
        <w:ind w:left="1740" w:hanging="360"/>
      </w:pPr>
      <w:rPr>
        <w:rFonts w:ascii="Courier New" w:hAnsi="Courier New" w:cs="Courier New" w:hint="default"/>
      </w:rPr>
    </w:lvl>
    <w:lvl w:ilvl="2" w:tplc="040C0005" w:tentative="1">
      <w:start w:val="1"/>
      <w:numFmt w:val="bullet"/>
      <w:lvlText w:val=""/>
      <w:lvlJc w:val="left"/>
      <w:pPr>
        <w:ind w:left="2460" w:hanging="360"/>
      </w:pPr>
      <w:rPr>
        <w:rFonts w:ascii="Wingdings" w:hAnsi="Wingdings" w:hint="default"/>
      </w:rPr>
    </w:lvl>
    <w:lvl w:ilvl="3" w:tplc="040C0001" w:tentative="1">
      <w:start w:val="1"/>
      <w:numFmt w:val="bullet"/>
      <w:lvlText w:val=""/>
      <w:lvlJc w:val="left"/>
      <w:pPr>
        <w:ind w:left="3180" w:hanging="360"/>
      </w:pPr>
      <w:rPr>
        <w:rFonts w:ascii="Symbol" w:hAnsi="Symbol" w:hint="default"/>
      </w:rPr>
    </w:lvl>
    <w:lvl w:ilvl="4" w:tplc="040C0003" w:tentative="1">
      <w:start w:val="1"/>
      <w:numFmt w:val="bullet"/>
      <w:lvlText w:val="o"/>
      <w:lvlJc w:val="left"/>
      <w:pPr>
        <w:ind w:left="3900" w:hanging="360"/>
      </w:pPr>
      <w:rPr>
        <w:rFonts w:ascii="Courier New" w:hAnsi="Courier New" w:cs="Courier New" w:hint="default"/>
      </w:rPr>
    </w:lvl>
    <w:lvl w:ilvl="5" w:tplc="040C0005" w:tentative="1">
      <w:start w:val="1"/>
      <w:numFmt w:val="bullet"/>
      <w:lvlText w:val=""/>
      <w:lvlJc w:val="left"/>
      <w:pPr>
        <w:ind w:left="4620" w:hanging="360"/>
      </w:pPr>
      <w:rPr>
        <w:rFonts w:ascii="Wingdings" w:hAnsi="Wingdings" w:hint="default"/>
      </w:rPr>
    </w:lvl>
    <w:lvl w:ilvl="6" w:tplc="040C0001" w:tentative="1">
      <w:start w:val="1"/>
      <w:numFmt w:val="bullet"/>
      <w:lvlText w:val=""/>
      <w:lvlJc w:val="left"/>
      <w:pPr>
        <w:ind w:left="5340" w:hanging="360"/>
      </w:pPr>
      <w:rPr>
        <w:rFonts w:ascii="Symbol" w:hAnsi="Symbol" w:hint="default"/>
      </w:rPr>
    </w:lvl>
    <w:lvl w:ilvl="7" w:tplc="040C0003" w:tentative="1">
      <w:start w:val="1"/>
      <w:numFmt w:val="bullet"/>
      <w:lvlText w:val="o"/>
      <w:lvlJc w:val="left"/>
      <w:pPr>
        <w:ind w:left="6060" w:hanging="360"/>
      </w:pPr>
      <w:rPr>
        <w:rFonts w:ascii="Courier New" w:hAnsi="Courier New" w:cs="Courier New" w:hint="default"/>
      </w:rPr>
    </w:lvl>
    <w:lvl w:ilvl="8" w:tplc="040C0005" w:tentative="1">
      <w:start w:val="1"/>
      <w:numFmt w:val="bullet"/>
      <w:lvlText w:val=""/>
      <w:lvlJc w:val="left"/>
      <w:pPr>
        <w:ind w:left="6780" w:hanging="360"/>
      </w:pPr>
      <w:rPr>
        <w:rFonts w:ascii="Wingdings" w:hAnsi="Wingdings" w:hint="default"/>
      </w:rPr>
    </w:lvl>
  </w:abstractNum>
  <w:abstractNum w:abstractNumId="2">
    <w:nsid w:val="2EB10A99"/>
    <w:multiLevelType w:val="hybridMultilevel"/>
    <w:tmpl w:val="1DC0CA7A"/>
    <w:lvl w:ilvl="0" w:tplc="27DC9734">
      <w:start w:val="1"/>
      <w:numFmt w:val="decimal"/>
      <w:lvlText w:val="%1."/>
      <w:lvlJc w:val="left"/>
      <w:pPr>
        <w:ind w:left="720" w:hanging="360"/>
      </w:pPr>
      <w:rPr>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417867AE"/>
    <w:multiLevelType w:val="hybridMultilevel"/>
    <w:tmpl w:val="7B1C46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45632BF4"/>
    <w:multiLevelType w:val="hybridMultilevel"/>
    <w:tmpl w:val="E2F8E7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5A55997"/>
    <w:multiLevelType w:val="hybridMultilevel"/>
    <w:tmpl w:val="726040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623E2B90"/>
    <w:multiLevelType w:val="hybridMultilevel"/>
    <w:tmpl w:val="CE5ADA5C"/>
    <w:lvl w:ilvl="0" w:tplc="040C000F">
      <w:start w:val="1"/>
      <w:numFmt w:val="decimal"/>
      <w:lvlText w:val="%1."/>
      <w:lvlJc w:val="left"/>
      <w:pPr>
        <w:ind w:left="950" w:hanging="360"/>
      </w:pPr>
    </w:lvl>
    <w:lvl w:ilvl="1" w:tplc="040C0019" w:tentative="1">
      <w:start w:val="1"/>
      <w:numFmt w:val="lowerLetter"/>
      <w:lvlText w:val="%2."/>
      <w:lvlJc w:val="left"/>
      <w:pPr>
        <w:ind w:left="1670" w:hanging="360"/>
      </w:pPr>
    </w:lvl>
    <w:lvl w:ilvl="2" w:tplc="040C001B" w:tentative="1">
      <w:start w:val="1"/>
      <w:numFmt w:val="lowerRoman"/>
      <w:lvlText w:val="%3."/>
      <w:lvlJc w:val="right"/>
      <w:pPr>
        <w:ind w:left="2390" w:hanging="180"/>
      </w:pPr>
    </w:lvl>
    <w:lvl w:ilvl="3" w:tplc="040C000F" w:tentative="1">
      <w:start w:val="1"/>
      <w:numFmt w:val="decimal"/>
      <w:lvlText w:val="%4."/>
      <w:lvlJc w:val="left"/>
      <w:pPr>
        <w:ind w:left="3110" w:hanging="360"/>
      </w:pPr>
    </w:lvl>
    <w:lvl w:ilvl="4" w:tplc="040C0019" w:tentative="1">
      <w:start w:val="1"/>
      <w:numFmt w:val="lowerLetter"/>
      <w:lvlText w:val="%5."/>
      <w:lvlJc w:val="left"/>
      <w:pPr>
        <w:ind w:left="3830" w:hanging="360"/>
      </w:pPr>
    </w:lvl>
    <w:lvl w:ilvl="5" w:tplc="040C001B" w:tentative="1">
      <w:start w:val="1"/>
      <w:numFmt w:val="lowerRoman"/>
      <w:lvlText w:val="%6."/>
      <w:lvlJc w:val="right"/>
      <w:pPr>
        <w:ind w:left="4550" w:hanging="180"/>
      </w:pPr>
    </w:lvl>
    <w:lvl w:ilvl="6" w:tplc="040C000F" w:tentative="1">
      <w:start w:val="1"/>
      <w:numFmt w:val="decimal"/>
      <w:lvlText w:val="%7."/>
      <w:lvlJc w:val="left"/>
      <w:pPr>
        <w:ind w:left="5270" w:hanging="360"/>
      </w:pPr>
    </w:lvl>
    <w:lvl w:ilvl="7" w:tplc="040C0019" w:tentative="1">
      <w:start w:val="1"/>
      <w:numFmt w:val="lowerLetter"/>
      <w:lvlText w:val="%8."/>
      <w:lvlJc w:val="left"/>
      <w:pPr>
        <w:ind w:left="5990" w:hanging="360"/>
      </w:pPr>
    </w:lvl>
    <w:lvl w:ilvl="8" w:tplc="040C001B" w:tentative="1">
      <w:start w:val="1"/>
      <w:numFmt w:val="lowerRoman"/>
      <w:lvlText w:val="%9."/>
      <w:lvlJc w:val="right"/>
      <w:pPr>
        <w:ind w:left="6710" w:hanging="180"/>
      </w:pPr>
    </w:lvl>
  </w:abstractNum>
  <w:abstractNum w:abstractNumId="7">
    <w:nsid w:val="7E2654F9"/>
    <w:multiLevelType w:val="hybridMultilevel"/>
    <w:tmpl w:val="48960224"/>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1"/>
  </w:num>
  <w:num w:numId="2">
    <w:abstractNumId w:val="6"/>
  </w:num>
  <w:num w:numId="3">
    <w:abstractNumId w:val="0"/>
  </w:num>
  <w:num w:numId="4">
    <w:abstractNumId w:val="3"/>
  </w:num>
  <w:num w:numId="5">
    <w:abstractNumId w:val="4"/>
  </w:num>
  <w:num w:numId="6">
    <w:abstractNumId w:val="5"/>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2B9B"/>
    <w:rsid w:val="00046383"/>
    <w:rsid w:val="0005529F"/>
    <w:rsid w:val="00061F71"/>
    <w:rsid w:val="000C2C7A"/>
    <w:rsid w:val="00155670"/>
    <w:rsid w:val="001C2B9B"/>
    <w:rsid w:val="001C5E86"/>
    <w:rsid w:val="00205B05"/>
    <w:rsid w:val="00206B92"/>
    <w:rsid w:val="00207F13"/>
    <w:rsid w:val="00272D8E"/>
    <w:rsid w:val="00276C3D"/>
    <w:rsid w:val="00276DA7"/>
    <w:rsid w:val="00296E43"/>
    <w:rsid w:val="002A1634"/>
    <w:rsid w:val="002B2925"/>
    <w:rsid w:val="002E192A"/>
    <w:rsid w:val="002F0E22"/>
    <w:rsid w:val="00302076"/>
    <w:rsid w:val="003067E4"/>
    <w:rsid w:val="00327ED5"/>
    <w:rsid w:val="00366BCE"/>
    <w:rsid w:val="0038567C"/>
    <w:rsid w:val="003A6965"/>
    <w:rsid w:val="003B3525"/>
    <w:rsid w:val="003C370B"/>
    <w:rsid w:val="003D4502"/>
    <w:rsid w:val="003E634C"/>
    <w:rsid w:val="003F611F"/>
    <w:rsid w:val="00432DBE"/>
    <w:rsid w:val="004536E9"/>
    <w:rsid w:val="00495772"/>
    <w:rsid w:val="00495A00"/>
    <w:rsid w:val="00495EE5"/>
    <w:rsid w:val="004B0105"/>
    <w:rsid w:val="00526891"/>
    <w:rsid w:val="00542DEA"/>
    <w:rsid w:val="00543727"/>
    <w:rsid w:val="00545713"/>
    <w:rsid w:val="00584C2A"/>
    <w:rsid w:val="005F3783"/>
    <w:rsid w:val="00607136"/>
    <w:rsid w:val="00644468"/>
    <w:rsid w:val="00681CD0"/>
    <w:rsid w:val="00685C53"/>
    <w:rsid w:val="007272AC"/>
    <w:rsid w:val="00756138"/>
    <w:rsid w:val="00757ED5"/>
    <w:rsid w:val="0077325E"/>
    <w:rsid w:val="0078472B"/>
    <w:rsid w:val="00784E2B"/>
    <w:rsid w:val="00794B80"/>
    <w:rsid w:val="00803C5F"/>
    <w:rsid w:val="008129FA"/>
    <w:rsid w:val="008B78BA"/>
    <w:rsid w:val="008F6F1A"/>
    <w:rsid w:val="009120E8"/>
    <w:rsid w:val="009138BA"/>
    <w:rsid w:val="00922331"/>
    <w:rsid w:val="00937EDD"/>
    <w:rsid w:val="00940D23"/>
    <w:rsid w:val="0094576D"/>
    <w:rsid w:val="009512C6"/>
    <w:rsid w:val="00975FE5"/>
    <w:rsid w:val="009C10F4"/>
    <w:rsid w:val="009E2FDC"/>
    <w:rsid w:val="009F6DD4"/>
    <w:rsid w:val="00A1388F"/>
    <w:rsid w:val="00A17B42"/>
    <w:rsid w:val="00A41666"/>
    <w:rsid w:val="00AA5AC2"/>
    <w:rsid w:val="00AC5BC6"/>
    <w:rsid w:val="00AD41DA"/>
    <w:rsid w:val="00B12254"/>
    <w:rsid w:val="00B46312"/>
    <w:rsid w:val="00B604E2"/>
    <w:rsid w:val="00B61A3B"/>
    <w:rsid w:val="00B75EDF"/>
    <w:rsid w:val="00B9125D"/>
    <w:rsid w:val="00BB4F55"/>
    <w:rsid w:val="00BB65CD"/>
    <w:rsid w:val="00BC7EB5"/>
    <w:rsid w:val="00BD289A"/>
    <w:rsid w:val="00BE255B"/>
    <w:rsid w:val="00BE367E"/>
    <w:rsid w:val="00C021A8"/>
    <w:rsid w:val="00C53BE4"/>
    <w:rsid w:val="00C83BA5"/>
    <w:rsid w:val="00C91DB0"/>
    <w:rsid w:val="00CA72A6"/>
    <w:rsid w:val="00CB3158"/>
    <w:rsid w:val="00CC67B5"/>
    <w:rsid w:val="00CD315D"/>
    <w:rsid w:val="00CE7DDE"/>
    <w:rsid w:val="00CF3039"/>
    <w:rsid w:val="00CF51DB"/>
    <w:rsid w:val="00CF6608"/>
    <w:rsid w:val="00D05580"/>
    <w:rsid w:val="00D073A1"/>
    <w:rsid w:val="00D415FD"/>
    <w:rsid w:val="00D54CB5"/>
    <w:rsid w:val="00D550BF"/>
    <w:rsid w:val="00D5518C"/>
    <w:rsid w:val="00D7214E"/>
    <w:rsid w:val="00D80268"/>
    <w:rsid w:val="00DA5EDF"/>
    <w:rsid w:val="00DB26AA"/>
    <w:rsid w:val="00DF1993"/>
    <w:rsid w:val="00E02778"/>
    <w:rsid w:val="00E2396E"/>
    <w:rsid w:val="00E549F8"/>
    <w:rsid w:val="00E6333C"/>
    <w:rsid w:val="00E63C4E"/>
    <w:rsid w:val="00E65EF7"/>
    <w:rsid w:val="00E66A94"/>
    <w:rsid w:val="00E94F4C"/>
    <w:rsid w:val="00E97161"/>
    <w:rsid w:val="00EA6397"/>
    <w:rsid w:val="00ED42E3"/>
    <w:rsid w:val="00EE0E32"/>
    <w:rsid w:val="00F00F0A"/>
    <w:rsid w:val="00F064EC"/>
    <w:rsid w:val="00F3788B"/>
    <w:rsid w:val="00F504D1"/>
    <w:rsid w:val="00F86416"/>
    <w:rsid w:val="00FA0CD9"/>
    <w:rsid w:val="00FE0DA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4F3B9E-8204-4136-85CB-521AFCA75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1A3B"/>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wtze">
    <w:name w:val="hwtze"/>
    <w:basedOn w:val="Policepardfaut"/>
    <w:rsid w:val="00206B92"/>
  </w:style>
  <w:style w:type="character" w:customStyle="1" w:styleId="rynqvb">
    <w:name w:val="rynqvb"/>
    <w:basedOn w:val="Policepardfaut"/>
    <w:rsid w:val="00206B92"/>
  </w:style>
  <w:style w:type="character" w:styleId="Lienhypertexte">
    <w:name w:val="Hyperlink"/>
    <w:basedOn w:val="Policepardfaut"/>
    <w:uiPriority w:val="99"/>
    <w:unhideWhenUsed/>
    <w:rsid w:val="008F6F1A"/>
    <w:rPr>
      <w:color w:val="0563C1" w:themeColor="hyperlink"/>
      <w:u w:val="single"/>
    </w:rPr>
  </w:style>
  <w:style w:type="paragraph" w:styleId="Notedebasdepage">
    <w:name w:val="footnote text"/>
    <w:basedOn w:val="Normal"/>
    <w:link w:val="NotedebasdepageCar"/>
    <w:uiPriority w:val="99"/>
    <w:unhideWhenUsed/>
    <w:rsid w:val="00543727"/>
    <w:pPr>
      <w:spacing w:after="0" w:line="240" w:lineRule="auto"/>
    </w:pPr>
    <w:rPr>
      <w:sz w:val="20"/>
      <w:szCs w:val="20"/>
    </w:rPr>
  </w:style>
  <w:style w:type="character" w:customStyle="1" w:styleId="NotedebasdepageCar">
    <w:name w:val="Note de bas de page Car"/>
    <w:basedOn w:val="Policepardfaut"/>
    <w:link w:val="Notedebasdepage"/>
    <w:uiPriority w:val="99"/>
    <w:rsid w:val="00543727"/>
    <w:rPr>
      <w:sz w:val="20"/>
      <w:szCs w:val="20"/>
    </w:rPr>
  </w:style>
  <w:style w:type="character" w:styleId="Appelnotedebasdep">
    <w:name w:val="footnote reference"/>
    <w:basedOn w:val="Policepardfaut"/>
    <w:uiPriority w:val="99"/>
    <w:semiHidden/>
    <w:unhideWhenUsed/>
    <w:rsid w:val="00543727"/>
    <w:rPr>
      <w:vertAlign w:val="superscript"/>
    </w:rPr>
  </w:style>
  <w:style w:type="paragraph" w:styleId="Paragraphedeliste">
    <w:name w:val="List Paragraph"/>
    <w:basedOn w:val="Normal"/>
    <w:uiPriority w:val="34"/>
    <w:qFormat/>
    <w:rsid w:val="00ED42E3"/>
    <w:pPr>
      <w:ind w:left="720"/>
      <w:contextualSpacing/>
    </w:pPr>
  </w:style>
  <w:style w:type="paragraph" w:styleId="En-tte">
    <w:name w:val="header"/>
    <w:basedOn w:val="Normal"/>
    <w:link w:val="En-tteCar"/>
    <w:uiPriority w:val="99"/>
    <w:unhideWhenUsed/>
    <w:rsid w:val="00B61A3B"/>
    <w:pPr>
      <w:tabs>
        <w:tab w:val="center" w:pos="4513"/>
        <w:tab w:val="right" w:pos="9026"/>
      </w:tabs>
      <w:spacing w:after="0" w:line="240" w:lineRule="auto"/>
    </w:pPr>
  </w:style>
  <w:style w:type="character" w:customStyle="1" w:styleId="En-tteCar">
    <w:name w:val="En-tête Car"/>
    <w:basedOn w:val="Policepardfaut"/>
    <w:link w:val="En-tte"/>
    <w:uiPriority w:val="99"/>
    <w:rsid w:val="00B61A3B"/>
  </w:style>
  <w:style w:type="paragraph" w:styleId="Pieddepage">
    <w:name w:val="footer"/>
    <w:basedOn w:val="Normal"/>
    <w:link w:val="PieddepageCar"/>
    <w:uiPriority w:val="99"/>
    <w:unhideWhenUsed/>
    <w:rsid w:val="00B61A3B"/>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B61A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9633243">
      <w:bodyDiv w:val="1"/>
      <w:marLeft w:val="0"/>
      <w:marRight w:val="0"/>
      <w:marTop w:val="0"/>
      <w:marBottom w:val="0"/>
      <w:divBdr>
        <w:top w:val="none" w:sz="0" w:space="0" w:color="auto"/>
        <w:left w:val="none" w:sz="0" w:space="0" w:color="auto"/>
        <w:bottom w:val="none" w:sz="0" w:space="0" w:color="auto"/>
        <w:right w:val="none" w:sz="0" w:space="0" w:color="auto"/>
      </w:divBdr>
      <w:divsChild>
        <w:div w:id="1557473705">
          <w:marLeft w:val="0"/>
          <w:marRight w:val="0"/>
          <w:marTop w:val="0"/>
          <w:marBottom w:val="0"/>
          <w:divBdr>
            <w:top w:val="none" w:sz="0" w:space="0" w:color="auto"/>
            <w:left w:val="none" w:sz="0" w:space="0" w:color="auto"/>
            <w:bottom w:val="none" w:sz="0" w:space="0" w:color="auto"/>
            <w:right w:val="none" w:sz="0" w:space="0" w:color="auto"/>
          </w:divBdr>
          <w:divsChild>
            <w:div w:id="720634468">
              <w:marLeft w:val="0"/>
              <w:marRight w:val="0"/>
              <w:marTop w:val="0"/>
              <w:marBottom w:val="0"/>
              <w:divBdr>
                <w:top w:val="none" w:sz="0" w:space="0" w:color="auto"/>
                <w:left w:val="none" w:sz="0" w:space="0" w:color="auto"/>
                <w:bottom w:val="none" w:sz="0" w:space="0" w:color="auto"/>
                <w:right w:val="none" w:sz="0" w:space="0" w:color="auto"/>
              </w:divBdr>
            </w:div>
            <w:div w:id="1005326146">
              <w:marLeft w:val="0"/>
              <w:marRight w:val="0"/>
              <w:marTop w:val="0"/>
              <w:marBottom w:val="0"/>
              <w:divBdr>
                <w:top w:val="none" w:sz="0" w:space="0" w:color="auto"/>
                <w:left w:val="none" w:sz="0" w:space="0" w:color="auto"/>
                <w:bottom w:val="none" w:sz="0" w:space="0" w:color="auto"/>
                <w:right w:val="none" w:sz="0" w:space="0" w:color="auto"/>
              </w:divBdr>
            </w:div>
            <w:div w:id="1422919308">
              <w:marLeft w:val="0"/>
              <w:marRight w:val="0"/>
              <w:marTop w:val="0"/>
              <w:marBottom w:val="0"/>
              <w:divBdr>
                <w:top w:val="none" w:sz="0" w:space="0" w:color="auto"/>
                <w:left w:val="none" w:sz="0" w:space="0" w:color="auto"/>
                <w:bottom w:val="none" w:sz="0" w:space="0" w:color="auto"/>
                <w:right w:val="none" w:sz="0" w:space="0" w:color="auto"/>
              </w:divBdr>
            </w:div>
            <w:div w:id="1489708264">
              <w:marLeft w:val="0"/>
              <w:marRight w:val="0"/>
              <w:marTop w:val="0"/>
              <w:marBottom w:val="0"/>
              <w:divBdr>
                <w:top w:val="none" w:sz="0" w:space="0" w:color="auto"/>
                <w:left w:val="none" w:sz="0" w:space="0" w:color="auto"/>
                <w:bottom w:val="none" w:sz="0" w:space="0" w:color="auto"/>
                <w:right w:val="none" w:sz="0" w:space="0" w:color="auto"/>
              </w:divBdr>
            </w:div>
            <w:div w:id="1819222161">
              <w:marLeft w:val="0"/>
              <w:marRight w:val="0"/>
              <w:marTop w:val="0"/>
              <w:marBottom w:val="0"/>
              <w:divBdr>
                <w:top w:val="none" w:sz="0" w:space="0" w:color="auto"/>
                <w:left w:val="none" w:sz="0" w:space="0" w:color="auto"/>
                <w:bottom w:val="none" w:sz="0" w:space="0" w:color="auto"/>
                <w:right w:val="none" w:sz="0" w:space="0" w:color="auto"/>
              </w:divBdr>
            </w:div>
            <w:div w:id="1958877516">
              <w:marLeft w:val="0"/>
              <w:marRight w:val="0"/>
              <w:marTop w:val="0"/>
              <w:marBottom w:val="0"/>
              <w:divBdr>
                <w:top w:val="none" w:sz="0" w:space="0" w:color="auto"/>
                <w:left w:val="none" w:sz="0" w:space="0" w:color="auto"/>
                <w:bottom w:val="none" w:sz="0" w:space="0" w:color="auto"/>
                <w:right w:val="none" w:sz="0" w:space="0" w:color="auto"/>
              </w:divBdr>
            </w:div>
            <w:div w:id="211092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hratoutou103@g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gallica.bnf.fr/http:/catalogue.bnf.fr/ark:/12148/cb364911844" TargetMode="External"/><Relationship Id="rId4" Type="http://schemas.openxmlformats.org/officeDocument/2006/relationships/settings" Target="settings.xml"/><Relationship Id="rId9" Type="http://schemas.openxmlformats.org/officeDocument/2006/relationships/hyperlink" Target="https://hal.archives.ouvertes.f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gallica.bnf.fr/http:/catalogue.bnf.fr/ark:/12148/cb364911844"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044517-2503-4DD0-8DC7-3A1C03D2D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3516</Words>
  <Characters>19341</Characters>
  <Application>Microsoft Office Word</Application>
  <DocSecurity>0</DocSecurity>
  <Lines>161</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2020</dc:creator>
  <cp:keywords/>
  <dc:description/>
  <cp:lastModifiedBy>Hp 2017</cp:lastModifiedBy>
  <cp:revision>2</cp:revision>
  <dcterms:created xsi:type="dcterms:W3CDTF">2022-12-08T05:02:00Z</dcterms:created>
  <dcterms:modified xsi:type="dcterms:W3CDTF">2022-12-08T05:02:00Z</dcterms:modified>
</cp:coreProperties>
</file>