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3B9B" w:rsidRDefault="00BA3B9B" w:rsidP="00210684">
      <w:pPr>
        <w:bidi/>
        <w:jc w:val="both"/>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 xml:space="preserve">                          </w:t>
      </w:r>
    </w:p>
    <w:p w:rsidR="00C03A08" w:rsidRDefault="00C03A08" w:rsidP="00210684">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وزارة التعليم العالي والبحث العلمي </w:t>
      </w:r>
    </w:p>
    <w:p w:rsidR="00C03A08" w:rsidRDefault="00C03A08" w:rsidP="00210684">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جامعة 8 ماي 1945 قالمة </w:t>
      </w:r>
      <w:r>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lang w:bidi="ar-DZ"/>
        </w:rPr>
        <w:t xml:space="preserve"> </w:t>
      </w:r>
    </w:p>
    <w:p w:rsidR="00C03A08" w:rsidRPr="00BA3B9B" w:rsidRDefault="00C03A08" w:rsidP="00210684">
      <w:pPr>
        <w:bidi/>
        <w:jc w:val="both"/>
        <w:rPr>
          <w:rFonts w:ascii="Traditional Arabic" w:hAnsi="Traditional Arabic" w:cs="Traditional Arabic"/>
          <w:b/>
          <w:bCs/>
          <w:sz w:val="32"/>
          <w:szCs w:val="32"/>
          <w:rtl/>
          <w:lang w:bidi="ar-DZ"/>
        </w:rPr>
      </w:pPr>
      <w:r>
        <w:rPr>
          <w:rFonts w:ascii="Traditional Arabic" w:hAnsi="Traditional Arabic" w:cs="Traditional Arabic"/>
          <w:b/>
          <w:bCs/>
          <w:sz w:val="36"/>
          <w:szCs w:val="36"/>
          <w:rtl/>
          <w:lang w:bidi="ar-DZ"/>
        </w:rPr>
        <w:t>ملتقى البيوطيقا: حوار جديد بين العلم والفلسفة.</w:t>
      </w:r>
    </w:p>
    <w:p w:rsidR="00C03A08" w:rsidRDefault="00C03A08" w:rsidP="00210684">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إستمارة المشاركة: </w:t>
      </w:r>
    </w:p>
    <w:p w:rsidR="00BA3B9B" w:rsidRDefault="00BA3B9B" w:rsidP="00210684">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أولا: </w:t>
      </w:r>
    </w:p>
    <w:p w:rsidR="00BA3B9B" w:rsidRDefault="00BA3B9B" w:rsidP="00210684">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الاسم واللقب: </w:t>
      </w:r>
      <w:r>
        <w:rPr>
          <w:rFonts w:ascii="Traditional Arabic" w:hAnsi="Traditional Arabic" w:cs="Traditional Arabic"/>
          <w:b/>
          <w:bCs/>
          <w:sz w:val="32"/>
          <w:szCs w:val="32"/>
          <w:rtl/>
          <w:lang w:bidi="ar-DZ"/>
        </w:rPr>
        <w:t>دباش حبيبة</w:t>
      </w:r>
      <w:r>
        <w:rPr>
          <w:rFonts w:ascii="Traditional Arabic" w:hAnsi="Traditional Arabic" w:cs="Traditional Arabic" w:hint="cs"/>
          <w:b/>
          <w:bCs/>
          <w:sz w:val="32"/>
          <w:szCs w:val="32"/>
          <w:rtl/>
          <w:lang w:bidi="ar-DZ"/>
        </w:rPr>
        <w:t xml:space="preserve">              الرتبة: أستاذ مساعد أ</w:t>
      </w:r>
    </w:p>
    <w:p w:rsidR="00BA3B9B" w:rsidRPr="00BA3B9B" w:rsidRDefault="00BA3B9B" w:rsidP="00210684">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 المؤسسة الأصلية: </w:t>
      </w:r>
      <w:r>
        <w:rPr>
          <w:rFonts w:ascii="Traditional Arabic" w:hAnsi="Traditional Arabic" w:cs="Traditional Arabic"/>
          <w:sz w:val="32"/>
          <w:szCs w:val="32"/>
          <w:rtl/>
          <w:lang w:bidi="ar-DZ"/>
        </w:rPr>
        <w:t>جامعة 8ماي 1945، قسم الفلسفة</w:t>
      </w:r>
      <w:r>
        <w:rPr>
          <w:rFonts w:ascii="Traditional Arabic" w:hAnsi="Traditional Arabic" w:cs="Traditional Arabic" w:hint="cs"/>
          <w:sz w:val="32"/>
          <w:szCs w:val="32"/>
          <w:rtl/>
          <w:lang w:bidi="ar-DZ"/>
        </w:rPr>
        <w:t xml:space="preserve">   </w:t>
      </w:r>
      <w:r w:rsidRPr="00BA3B9B">
        <w:rPr>
          <w:rFonts w:ascii="Traditional Arabic" w:hAnsi="Traditional Arabic" w:cs="Traditional Arabic" w:hint="cs"/>
          <w:b/>
          <w:bCs/>
          <w:sz w:val="32"/>
          <w:szCs w:val="32"/>
          <w:rtl/>
          <w:lang w:bidi="ar-DZ"/>
        </w:rPr>
        <w:t xml:space="preserve">مخبر الإنتماء: </w:t>
      </w:r>
    </w:p>
    <w:p w:rsidR="00BA3B9B" w:rsidRPr="00BA3B9B" w:rsidRDefault="00BA3B9B" w:rsidP="00210684">
      <w:pPr>
        <w:bidi/>
        <w:jc w:val="both"/>
        <w:rPr>
          <w:rFonts w:ascii="Traditional Arabic" w:hAnsi="Traditional Arabic" w:cs="Traditional Arabic"/>
          <w:b/>
          <w:bCs/>
          <w:sz w:val="32"/>
          <w:szCs w:val="32"/>
          <w:rtl/>
          <w:lang w:bidi="ar-DZ"/>
        </w:rPr>
      </w:pPr>
      <w:r w:rsidRPr="00BA3B9B">
        <w:rPr>
          <w:rFonts w:ascii="Traditional Arabic" w:hAnsi="Traditional Arabic" w:cs="Traditional Arabic" w:hint="cs"/>
          <w:b/>
          <w:bCs/>
          <w:sz w:val="32"/>
          <w:szCs w:val="32"/>
          <w:rtl/>
          <w:lang w:bidi="ar-DZ"/>
        </w:rPr>
        <w:t>رقم الهاتف</w:t>
      </w:r>
      <w:r>
        <w:rPr>
          <w:rFonts w:ascii="Traditional Arabic" w:hAnsi="Traditional Arabic" w:cs="Traditional Arabic" w:hint="cs"/>
          <w:sz w:val="32"/>
          <w:szCs w:val="32"/>
          <w:rtl/>
          <w:lang w:bidi="ar-DZ"/>
        </w:rPr>
        <w:t xml:space="preserve">: 0658973205   </w:t>
      </w:r>
      <w:r w:rsidRPr="00BA3B9B">
        <w:rPr>
          <w:rFonts w:ascii="Traditional Arabic" w:hAnsi="Traditional Arabic" w:cs="Traditional Arabic" w:hint="cs"/>
          <w:b/>
          <w:bCs/>
          <w:sz w:val="32"/>
          <w:szCs w:val="32"/>
          <w:rtl/>
          <w:lang w:bidi="ar-DZ"/>
        </w:rPr>
        <w:t>البريد الإلكتروني:</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debbacheh36@gmail com</w:t>
      </w:r>
      <w:r>
        <w:rPr>
          <w:rFonts w:ascii="Traditional Arabic" w:hAnsi="Traditional Arabic" w:cs="Traditional Arabic"/>
          <w:b/>
          <w:bCs/>
          <w:sz w:val="32"/>
          <w:szCs w:val="32"/>
          <w:lang w:bidi="ar-DZ"/>
        </w:rPr>
        <w:t xml:space="preserve"> </w:t>
      </w:r>
      <w:r>
        <w:rPr>
          <w:rFonts w:ascii="Traditional Arabic" w:hAnsi="Traditional Arabic" w:cs="Traditional Arabic"/>
          <w:b/>
          <w:bCs/>
          <w:sz w:val="32"/>
          <w:szCs w:val="32"/>
          <w:rtl/>
          <w:lang w:bidi="ar-DZ"/>
        </w:rPr>
        <w:t xml:space="preserve"> </w:t>
      </w:r>
    </w:p>
    <w:p w:rsidR="00BA3B9B" w:rsidRPr="00BA3B9B" w:rsidRDefault="00BA3B9B" w:rsidP="00210684">
      <w:pPr>
        <w:bidi/>
        <w:jc w:val="both"/>
        <w:rPr>
          <w:rFonts w:ascii="Traditional Arabic" w:hAnsi="Traditional Arabic" w:cs="Traditional Arabic"/>
          <w:b/>
          <w:bCs/>
          <w:sz w:val="32"/>
          <w:szCs w:val="32"/>
          <w:rtl/>
          <w:lang w:bidi="ar-DZ"/>
        </w:rPr>
      </w:pPr>
      <w:r w:rsidRPr="00BA3B9B">
        <w:rPr>
          <w:rFonts w:ascii="Traditional Arabic" w:hAnsi="Traditional Arabic" w:cs="Traditional Arabic" w:hint="cs"/>
          <w:b/>
          <w:bCs/>
          <w:sz w:val="32"/>
          <w:szCs w:val="32"/>
          <w:rtl/>
          <w:lang w:bidi="ar-DZ"/>
        </w:rPr>
        <w:t xml:space="preserve">ثانيا: المداخلة: </w:t>
      </w:r>
    </w:p>
    <w:p w:rsidR="00BA3B9B" w:rsidRPr="00BA3B9B" w:rsidRDefault="00BA3B9B" w:rsidP="00210684">
      <w:pPr>
        <w:bidi/>
        <w:jc w:val="both"/>
        <w:rPr>
          <w:rFonts w:ascii="Traditional Arabic" w:hAnsi="Traditional Arabic" w:cs="Traditional Arabic"/>
          <w:b/>
          <w:bCs/>
          <w:sz w:val="32"/>
          <w:szCs w:val="32"/>
          <w:rtl/>
          <w:lang w:bidi="ar-DZ"/>
        </w:rPr>
      </w:pPr>
      <w:r w:rsidRPr="00BA3B9B">
        <w:rPr>
          <w:rFonts w:ascii="Traditional Arabic" w:hAnsi="Traditional Arabic" w:cs="Traditional Arabic" w:hint="cs"/>
          <w:b/>
          <w:bCs/>
          <w:sz w:val="32"/>
          <w:szCs w:val="32"/>
          <w:rtl/>
          <w:lang w:bidi="ar-DZ"/>
        </w:rPr>
        <w:t xml:space="preserve">عنوان المحور: </w:t>
      </w:r>
      <w:r w:rsidR="00C03A08">
        <w:rPr>
          <w:rFonts w:ascii="Traditional Arabic" w:hAnsi="Traditional Arabic" w:cs="Traditional Arabic" w:hint="cs"/>
          <w:b/>
          <w:bCs/>
          <w:sz w:val="32"/>
          <w:szCs w:val="32"/>
          <w:rtl/>
          <w:lang w:bidi="ar-DZ"/>
        </w:rPr>
        <w:t>من السؤال الميتافيزيقي إلى البيوطيقا.</w:t>
      </w:r>
    </w:p>
    <w:p w:rsidR="00BA3B9B" w:rsidRDefault="00BA3B9B" w:rsidP="00210684">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عنوان المداخلة: </w:t>
      </w:r>
      <w:r w:rsidR="00C03A08">
        <w:rPr>
          <w:rFonts w:ascii="Traditional Arabic" w:hAnsi="Traditional Arabic" w:cs="Traditional Arabic" w:hint="cs"/>
          <w:b/>
          <w:bCs/>
          <w:sz w:val="32"/>
          <w:szCs w:val="32"/>
          <w:rtl/>
          <w:lang w:bidi="ar-DZ"/>
        </w:rPr>
        <w:t xml:space="preserve">إتيقا الموت: بين الرهبة والرغبة. </w:t>
      </w:r>
    </w:p>
    <w:p w:rsidR="00BA3B9B" w:rsidRDefault="00BA3B9B" w:rsidP="00210684">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ملخص المداخلة: </w:t>
      </w:r>
    </w:p>
    <w:p w:rsidR="009D10F4" w:rsidRDefault="00465FA8" w:rsidP="002F1A5B">
      <w:pPr>
        <w:bidi/>
        <w:jc w:val="both"/>
        <w:rPr>
          <w:rFonts w:ascii="Traditional Arabic" w:hAnsi="Traditional Arabic" w:cs="Traditional Arabic"/>
          <w:sz w:val="32"/>
          <w:szCs w:val="32"/>
          <w:rtl/>
          <w:lang w:bidi="ar-DZ"/>
        </w:rPr>
      </w:pPr>
      <w:r w:rsidRPr="00B07136">
        <w:rPr>
          <w:rFonts w:ascii="Traditional Arabic" w:hAnsi="Traditional Arabic" w:cs="Traditional Arabic"/>
          <w:sz w:val="32"/>
          <w:szCs w:val="32"/>
          <w:rtl/>
          <w:lang w:bidi="ar-DZ"/>
        </w:rPr>
        <w:t xml:space="preserve">يحمل مصطلح البيوطيقا </w:t>
      </w:r>
      <w:r w:rsidR="00B07136">
        <w:rPr>
          <w:rFonts w:ascii="Traditional Arabic" w:hAnsi="Traditional Arabic" w:cs="Traditional Arabic" w:hint="cs"/>
          <w:sz w:val="32"/>
          <w:szCs w:val="32"/>
          <w:rtl/>
          <w:lang w:bidi="ar-DZ"/>
        </w:rPr>
        <w:t>باعتباره مصطلحا جديد الانتشار في الأوساط الفلسفية والعلمية</w:t>
      </w:r>
      <w:r w:rsidR="00D52160">
        <w:rPr>
          <w:rFonts w:ascii="Traditional Arabic" w:hAnsi="Traditional Arabic" w:cs="Traditional Arabic" w:hint="cs"/>
          <w:sz w:val="32"/>
          <w:szCs w:val="32"/>
          <w:rtl/>
          <w:lang w:bidi="ar-DZ"/>
        </w:rPr>
        <w:t>،</w:t>
      </w:r>
      <w:r w:rsidR="00B07136">
        <w:rPr>
          <w:rFonts w:ascii="Traditional Arabic" w:hAnsi="Traditional Arabic" w:cs="Traditional Arabic" w:hint="cs"/>
          <w:sz w:val="32"/>
          <w:szCs w:val="32"/>
          <w:rtl/>
          <w:lang w:bidi="ar-DZ"/>
        </w:rPr>
        <w:t xml:space="preserve"> إذ بدأ ظهوره في سبعينات القرن الماضي دلالات مغرقة في القدم بالنظر إليه كمصطلح مركب من شقين البيولوجيا والإتيقا أو الأخلاق، وإن موضوعنا الذي نرنوا لمناقشته في هذه المداخلة والموسوم ب: " إتيقا الموت: بين الرهبة والرغبة" والذي نصبوا زحزحته إلى أصوله </w:t>
      </w:r>
      <w:r w:rsidR="00210684">
        <w:rPr>
          <w:rFonts w:ascii="Traditional Arabic" w:hAnsi="Traditional Arabic" w:cs="Traditional Arabic" w:hint="cs"/>
          <w:sz w:val="32"/>
          <w:szCs w:val="32"/>
          <w:rtl/>
          <w:lang w:bidi="ar-DZ"/>
        </w:rPr>
        <w:t>ا</w:t>
      </w:r>
      <w:r w:rsidR="00B07136">
        <w:rPr>
          <w:rFonts w:ascii="Traditional Arabic" w:hAnsi="Traditional Arabic" w:cs="Traditional Arabic" w:hint="cs"/>
          <w:sz w:val="32"/>
          <w:szCs w:val="32"/>
          <w:rtl/>
          <w:lang w:bidi="ar-DZ"/>
        </w:rPr>
        <w:t xml:space="preserve">لأسطورية </w:t>
      </w:r>
      <w:r w:rsidR="00210684">
        <w:rPr>
          <w:rFonts w:ascii="Traditional Arabic" w:hAnsi="Traditional Arabic" w:cs="Traditional Arabic" w:hint="cs"/>
          <w:sz w:val="32"/>
          <w:szCs w:val="32"/>
          <w:rtl/>
          <w:lang w:bidi="ar-DZ"/>
        </w:rPr>
        <w:t>والميتافيزيقية لا يمكن أن يكون في معزل عن كل التطورات العلمية والبيولوجية والتقنية المعاصرة. ولأن سؤال الموت لا يقتصر على الجانب التنظيري بل يعد ممارسة طقوسية شعائرية منذ بدايات الإنسان ككائن يحاول تعلم فن العيش</w:t>
      </w:r>
      <w:r w:rsidR="003C2882">
        <w:rPr>
          <w:rFonts w:ascii="Traditional Arabic" w:hAnsi="Traditional Arabic" w:cs="Traditional Arabic" w:hint="cs"/>
          <w:sz w:val="32"/>
          <w:szCs w:val="32"/>
          <w:rtl/>
          <w:lang w:bidi="ar-DZ"/>
        </w:rPr>
        <w:t xml:space="preserve"> على حد تعبير جاك دريدا</w:t>
      </w:r>
      <w:r w:rsidR="00210684">
        <w:rPr>
          <w:rFonts w:ascii="Traditional Arabic" w:hAnsi="Traditional Arabic" w:cs="Traditional Arabic" w:hint="cs"/>
          <w:sz w:val="32"/>
          <w:szCs w:val="32"/>
          <w:rtl/>
          <w:lang w:bidi="ar-DZ"/>
        </w:rPr>
        <w:t>، ليتحول في وقتنا الحاضر إلى فعل أو لعبة إحداث فعل الموت</w:t>
      </w:r>
      <w:r w:rsidR="001532FC">
        <w:rPr>
          <w:rFonts w:ascii="Traditional Arabic" w:hAnsi="Traditional Arabic" w:cs="Traditional Arabic" w:hint="cs"/>
          <w:sz w:val="32"/>
          <w:szCs w:val="32"/>
          <w:rtl/>
          <w:lang w:bidi="ar-DZ"/>
        </w:rPr>
        <w:t>،</w:t>
      </w:r>
      <w:r w:rsidR="00210684">
        <w:rPr>
          <w:rFonts w:ascii="Traditional Arabic" w:hAnsi="Traditional Arabic" w:cs="Traditional Arabic" w:hint="cs"/>
          <w:sz w:val="32"/>
          <w:szCs w:val="32"/>
          <w:rtl/>
          <w:lang w:bidi="ar-DZ"/>
        </w:rPr>
        <w:t xml:space="preserve"> </w:t>
      </w:r>
      <w:r w:rsidR="00D52160">
        <w:rPr>
          <w:rFonts w:ascii="Traditional Arabic" w:hAnsi="Traditional Arabic" w:cs="Traditional Arabic" w:hint="cs"/>
          <w:sz w:val="32"/>
          <w:szCs w:val="32"/>
          <w:rtl/>
          <w:lang w:bidi="ar-DZ"/>
        </w:rPr>
        <w:t xml:space="preserve">فإننا لا يمكن في ظل كل الزحام الهائل العلمي والتقني أن نغفل عن التساؤل في </w:t>
      </w:r>
      <w:r w:rsidR="00D52160">
        <w:rPr>
          <w:rFonts w:ascii="Traditional Arabic" w:hAnsi="Traditional Arabic" w:cs="Traditional Arabic" w:hint="cs"/>
          <w:sz w:val="32"/>
          <w:szCs w:val="32"/>
          <w:rtl/>
          <w:lang w:bidi="ar-DZ"/>
        </w:rPr>
        <w:lastRenderedPageBreak/>
        <w:t xml:space="preserve">حضرة الموت عن مبرر بقاءنا أحياء نحمل وزر موت مؤجل وعن مدى تأثير ذلك على حياتنا الواقعية فكريا وأخلاقيا وسلوكيا. </w:t>
      </w:r>
      <w:r w:rsidR="001532FC">
        <w:rPr>
          <w:rFonts w:ascii="Traditional Arabic" w:hAnsi="Traditional Arabic" w:cs="Traditional Arabic" w:hint="cs"/>
          <w:sz w:val="32"/>
          <w:szCs w:val="32"/>
          <w:rtl/>
          <w:lang w:bidi="ar-DZ"/>
        </w:rPr>
        <w:t xml:space="preserve">لهذا نتساءل دوما عن مبرر حروبنا الهامشية التي تستغل فيها كل التقنيات العلمية البيولوجية والكيميائية من إبادات جماعية بنشر الأمراض الفتاكة كوباء كورونا مثلا والمبالغة في أسعار اللقاح المضاد للوباء وظهور موجات الفزع من الموت؛ لهذا فإن الموت وما يثيره من رهبة وخوف معاصر وتشبث بالحياة نظرا للخوف من المجهول أو الخواء نتيجة لما أشاعته الفلسفة التحليلية الوضعية المعاصرة (فتجنشتين الأول وفريجة ورودولف كارناب...) ومن قبلها دعوات فريديريك نيتشة لموت الإله وأفول الميتافيزيقا  يحيي من جديد الرغبة في الخلود من جهة ومن جهة أخرى الرغبة المضادة وهي الإقبال على الموت أو اختياره طوعا بأسلوب جديد للانتحار </w:t>
      </w:r>
      <w:r w:rsidR="003C2882">
        <w:rPr>
          <w:rFonts w:ascii="Traditional Arabic" w:hAnsi="Traditional Arabic" w:cs="Traditional Arabic" w:hint="cs"/>
          <w:sz w:val="32"/>
          <w:szCs w:val="32"/>
          <w:rtl/>
          <w:lang w:bidi="ar-DZ"/>
        </w:rPr>
        <w:t xml:space="preserve">لكن بفعل الآخر، هذا الآخر المعالج أو القائم على إحداث فعل الموت لم يلق الاهتمام الائق إلا نادرا بوضعه النفسي وما يحمل من </w:t>
      </w:r>
      <w:r w:rsidR="002F1A5B">
        <w:rPr>
          <w:rFonts w:ascii="Traditional Arabic" w:hAnsi="Traditional Arabic" w:cs="Traditional Arabic" w:hint="cs"/>
          <w:sz w:val="32"/>
          <w:szCs w:val="32"/>
          <w:rtl/>
          <w:lang w:bidi="ar-DZ"/>
        </w:rPr>
        <w:t>ا</w:t>
      </w:r>
      <w:r w:rsidR="003C2882">
        <w:rPr>
          <w:rFonts w:ascii="Traditional Arabic" w:hAnsi="Traditional Arabic" w:cs="Traditional Arabic" w:hint="cs"/>
          <w:sz w:val="32"/>
          <w:szCs w:val="32"/>
          <w:rtl/>
          <w:lang w:bidi="ar-DZ"/>
        </w:rPr>
        <w:t>نكسار ولذة معا.</w:t>
      </w:r>
      <w:r w:rsidR="00D52160">
        <w:rPr>
          <w:rFonts w:ascii="Traditional Arabic" w:hAnsi="Traditional Arabic" w:cs="Traditional Arabic" w:hint="cs"/>
          <w:sz w:val="32"/>
          <w:szCs w:val="32"/>
          <w:rtl/>
          <w:lang w:bidi="ar-DZ"/>
        </w:rPr>
        <w:t xml:space="preserve"> </w:t>
      </w:r>
    </w:p>
    <w:p w:rsidR="00357E5E" w:rsidRDefault="00357E5E" w:rsidP="00357E5E">
      <w:pPr>
        <w:bidi/>
        <w:jc w:val="both"/>
        <w:rPr>
          <w:rFonts w:ascii="Traditional Arabic" w:hAnsi="Traditional Arabic" w:cs="Traditional Arabic"/>
          <w:sz w:val="32"/>
          <w:szCs w:val="32"/>
          <w:lang w:bidi="ar-DZ"/>
        </w:rPr>
      </w:pPr>
      <w:r w:rsidRPr="00357E5E">
        <w:rPr>
          <w:rFonts w:ascii="Traditional Arabic" w:hAnsi="Traditional Arabic" w:cs="Traditional Arabic" w:hint="cs"/>
          <w:b/>
          <w:bCs/>
          <w:sz w:val="32"/>
          <w:szCs w:val="32"/>
          <w:rtl/>
          <w:lang w:bidi="ar-DZ"/>
        </w:rPr>
        <w:t>الكلمات المفتاحية:</w:t>
      </w:r>
      <w:r>
        <w:rPr>
          <w:rFonts w:ascii="Traditional Arabic" w:hAnsi="Traditional Arabic" w:cs="Traditional Arabic" w:hint="cs"/>
          <w:sz w:val="32"/>
          <w:szCs w:val="32"/>
          <w:rtl/>
          <w:lang w:bidi="ar-DZ"/>
        </w:rPr>
        <w:t xml:space="preserve"> الموت، فن العيش، الرهبة، الرغبة. </w:t>
      </w:r>
    </w:p>
    <w:p w:rsidR="000925EF" w:rsidRDefault="000E1C4E" w:rsidP="000925EF">
      <w:pPr>
        <w:spacing w:after="0" w:line="240" w:lineRule="auto"/>
        <w:jc w:val="both"/>
        <w:rPr>
          <w:rFonts w:ascii="Times New Roman" w:eastAsia="Times New Roman" w:hAnsi="Times New Roman" w:cs="Times New Roman"/>
          <w:sz w:val="24"/>
          <w:szCs w:val="24"/>
          <w:lang w:eastAsia="fr-FR"/>
        </w:rPr>
      </w:pPr>
      <w:r w:rsidRPr="000023A2">
        <w:rPr>
          <w:rFonts w:ascii="Times New Roman" w:eastAsia="Times New Roman" w:hAnsi="Times New Roman" w:cs="Times New Roman"/>
          <w:b/>
          <w:bCs/>
          <w:sz w:val="24"/>
          <w:szCs w:val="24"/>
          <w:lang w:eastAsia="fr-FR"/>
        </w:rPr>
        <w:t>Intervention summary</w:t>
      </w:r>
      <w:r w:rsidRPr="000E1C4E">
        <w:rPr>
          <w:rFonts w:ascii="Times New Roman" w:eastAsia="Times New Roman" w:hAnsi="Times New Roman" w:cs="Times New Roman"/>
          <w:sz w:val="24"/>
          <w:szCs w:val="24"/>
          <w:lang w:eastAsia="fr-FR"/>
        </w:rPr>
        <w:t>: The term bioethics as a new term spread in philosophical and scientific circles, as its appearance began in the seventies of the last century, connotations steeped in antiquity by looking at it as a compound term of two parts biology and ethics or ethics, and our topic that we are looking to discuss in this intervention and marked by: “The ethics of death: between Awe and Desire," which they ascribed to its mythical and metaphysical origins, cannot be isolated from all contemporary scientific, biological, and technological developments. And because the question of death is not limited to the theoretical side, but is a ritualistic and ritual practice from the beginnings of man as a being trying to learn the art of living in the words of Jacques Derrida, to turn in our present time into an act or game of causing the act of death, we cannot, in light of all the enormous scientific and technical hustle, We neglect to ask in the presence of death about the justification for our survival, bearing the burden of a postponed death, and the extent of its impact on our real life intellectually, morally, and behaviorally. That is why we always wonder about the justification for our marginal wars, in which all biological and chemical scientific techniques of genocide are exploited by spreading deadly diseases, such as the Corona epidemic, for example, and exaggerating the prices of the anti-pandemic vaccine, and the emergence of waves of fear of death; That is why death and what it evokes in terms of awe and contemporary fear and clinging to life due to the fear of the unknown or emptiness as a result of what was spread by contemporary analytical positivist philosophy (Witgenstein the First, Frege, Rudolf Carnap...) and before that Friedrich Nietzsche’s calls for the death of God and the demise of metaphysics revives again the desire for immortality from On the one hand, and on the other hand, the opposite desire, which is the willingness to die or choosing voluntarily in a new way to commit suicide, but by the action of the other.</w:t>
      </w:r>
    </w:p>
    <w:p w:rsidR="000E1C4E" w:rsidRPr="000E1C4E" w:rsidRDefault="000E1C4E" w:rsidP="000925EF">
      <w:pPr>
        <w:spacing w:after="0" w:line="240" w:lineRule="auto"/>
        <w:jc w:val="both"/>
        <w:rPr>
          <w:rFonts w:ascii="Times New Roman" w:eastAsia="Times New Roman" w:hAnsi="Times New Roman" w:cs="Times New Roman"/>
          <w:sz w:val="24"/>
          <w:szCs w:val="24"/>
          <w:lang w:eastAsia="fr-FR"/>
        </w:rPr>
      </w:pPr>
      <w:r w:rsidRPr="000925EF">
        <w:rPr>
          <w:rFonts w:ascii="Times New Roman" w:eastAsia="Times New Roman" w:hAnsi="Times New Roman" w:cs="Times New Roman"/>
          <w:b/>
          <w:bCs/>
          <w:sz w:val="24"/>
          <w:szCs w:val="24"/>
          <w:lang w:eastAsia="fr-FR"/>
        </w:rPr>
        <w:t xml:space="preserve"> Keywords</w:t>
      </w:r>
      <w:r w:rsidRPr="000E1C4E">
        <w:rPr>
          <w:rFonts w:ascii="Times New Roman" w:eastAsia="Times New Roman" w:hAnsi="Times New Roman" w:cs="Times New Roman"/>
          <w:sz w:val="24"/>
          <w:szCs w:val="24"/>
          <w:lang w:eastAsia="fr-FR"/>
        </w:rPr>
        <w:t>: death, the art of living, dread, desire.</w:t>
      </w:r>
    </w:p>
    <w:p w:rsidR="000E1C4E" w:rsidRDefault="000E1C4E" w:rsidP="000925EF">
      <w:pPr>
        <w:jc w:val="both"/>
        <w:rPr>
          <w:rFonts w:ascii="Traditional Arabic" w:hAnsi="Traditional Arabic" w:cs="Traditional Arabic"/>
          <w:sz w:val="32"/>
          <w:szCs w:val="32"/>
          <w:lang w:bidi="ar-DZ"/>
        </w:rPr>
      </w:pPr>
    </w:p>
    <w:p w:rsidR="008D3A64" w:rsidRDefault="008D3A64" w:rsidP="000925EF">
      <w:pPr>
        <w:jc w:val="both"/>
        <w:rPr>
          <w:rFonts w:ascii="Traditional Arabic" w:hAnsi="Traditional Arabic" w:cs="Traditional Arabic"/>
          <w:sz w:val="32"/>
          <w:szCs w:val="32"/>
          <w:lang w:bidi="ar-DZ"/>
        </w:rPr>
      </w:pPr>
    </w:p>
    <w:p w:rsidR="008D3A64" w:rsidRDefault="008D3A64" w:rsidP="008D3A64">
      <w:pPr>
        <w:bidi/>
        <w:ind w:firstLine="357"/>
        <w:jc w:val="both"/>
        <w:rPr>
          <w:rFonts w:ascii="Traditional Arabic" w:hAnsi="Traditional Arabic" w:cs="Traditional Arabic"/>
          <w:b/>
          <w:bCs/>
          <w:color w:val="000000" w:themeColor="text1"/>
          <w:sz w:val="32"/>
          <w:szCs w:val="32"/>
          <w:lang w:bidi="ar-DZ"/>
        </w:rPr>
      </w:pPr>
      <w:r>
        <w:rPr>
          <w:rFonts w:ascii="Traditional Arabic" w:hAnsi="Traditional Arabic" w:cs="Traditional Arabic"/>
          <w:b/>
          <w:bCs/>
          <w:color w:val="000000" w:themeColor="text1"/>
          <w:sz w:val="32"/>
          <w:szCs w:val="32"/>
          <w:rtl/>
          <w:lang w:bidi="ar-DZ"/>
        </w:rPr>
        <w:lastRenderedPageBreak/>
        <w:t>تمهيد:</w:t>
      </w:r>
    </w:p>
    <w:p w:rsidR="008D3A64" w:rsidRDefault="008D3A64" w:rsidP="008D3A64">
      <w:pPr>
        <w:bidi/>
        <w:ind w:left="142"/>
        <w:jc w:val="both"/>
        <w:rPr>
          <w:rFonts w:ascii="Traditional Arabic" w:hAnsi="Traditional Arabic" w:cs="Traditional Arabic"/>
          <w:color w:val="000000" w:themeColor="text1"/>
          <w:sz w:val="32"/>
          <w:szCs w:val="32"/>
          <w:rtl/>
          <w:lang w:bidi="ar-DZ"/>
        </w:rPr>
      </w:pPr>
      <w:r>
        <w:rPr>
          <w:rFonts w:ascii="Traditional Arabic" w:hAnsi="Traditional Arabic" w:cs="Traditional Arabic"/>
          <w:color w:val="000000" w:themeColor="text1"/>
          <w:sz w:val="32"/>
          <w:szCs w:val="32"/>
          <w:rtl/>
        </w:rPr>
        <w:t xml:space="preserve">   </w:t>
      </w:r>
      <w:r>
        <w:rPr>
          <w:rFonts w:ascii="Traditional Arabic" w:hAnsi="Traditional Arabic" w:cs="Traditional Arabic"/>
          <w:color w:val="000000" w:themeColor="text1"/>
          <w:sz w:val="32"/>
          <w:szCs w:val="32"/>
          <w:shd w:val="clear" w:color="auto" w:fill="FFFFFF"/>
          <w:rtl/>
        </w:rPr>
        <w:t>المقاربة الإيكولوجية الأخلاقية بمختلف ألوانها، سعت إلى تأسيس خطاب إيكولوجي عميق، يتجاوز ضحالة اختيارات المجتمعات الصناعية في معالجة الأزمات البيئية، ويراجع الطرق التقليدية للفلسفة الغربية ونموذجها الإرشادي المعرفي الحداثي، بغرض تطوير بدائل فلسفية كفيلة بصياغة مُثل أخلاقية جديدة، تستجيب لمستجدات الإنسان المعاصر، وتعيد تقييم المحيط البيئي، بناء على منطلقات تروم التوازن الطبيعي وفق منطق تعاقدي طبيعي خلاق، يضمن التقدير العادل والشمولي لكل الموجودات</w:t>
      </w:r>
    </w:p>
    <w:p w:rsidR="008D3A64" w:rsidRDefault="008D3A64" w:rsidP="008D3A64">
      <w:pPr>
        <w:bidi/>
        <w:jc w:val="both"/>
        <w:rPr>
          <w:rFonts w:ascii="Traditional Arabic" w:hAnsi="Traditional Arabic" w:cs="Traditional Arabic"/>
          <w:color w:val="000000" w:themeColor="text1"/>
          <w:sz w:val="32"/>
          <w:szCs w:val="32"/>
          <w:rtl/>
          <w:lang w:bidi="ar-DZ"/>
        </w:rPr>
      </w:pPr>
      <w:r>
        <w:rPr>
          <w:rFonts w:ascii="Traditional Arabic" w:hAnsi="Traditional Arabic" w:cs="Traditional Arabic"/>
          <w:color w:val="000000" w:themeColor="text1"/>
          <w:sz w:val="32"/>
          <w:szCs w:val="32"/>
          <w:rtl/>
          <w:lang w:bidi="ar-DZ"/>
        </w:rPr>
        <w:t xml:space="preserve">     لكن هذا التصور الجوناسي لا يعني أنه أعلى من شأن النظم الاستبدادية التي تكون فيها السلطة والسيادة في يد شخص واحد إنما يرى أن الحرية والديمقراطية نظام مرغوب فيه لنه يكفل تحقيق الحاجيات الأساسية المادية منها وغير المادية للجميع، لكن ينبغي أن يكون ذلكفي إطار قانوني، لأن القانون هو الذي يحكم أنانية الإنسان ويجعله يمشي وفقا لما تقتضيه إرادة الحاكم وليس الشعب، وبالتالي فهو يفض أن يكون الحكم والسلطة السياسية في يد حاكم واحد يكون هو الوصي على المحكومين، لا أن يكون الحكم في يد الشعب، الذي هو بطبيعة الحال ووفقا لطبيعته وفطرته سيسخر هذا الحكم والقرار لصالح حاجاته الخاصة.</w:t>
      </w:r>
    </w:p>
    <w:p w:rsidR="008D3A64" w:rsidRDefault="008D3A64" w:rsidP="008D3A64">
      <w:pPr>
        <w:shd w:val="clear" w:color="auto" w:fill="FFFFFF"/>
        <w:bidi/>
        <w:spacing w:before="100" w:beforeAutospacing="1" w:after="100" w:afterAutospacing="1"/>
        <w:jc w:val="both"/>
        <w:rPr>
          <w:rFonts w:ascii="Traditional Arabic" w:hAnsi="Traditional Arabic" w:cs="Traditional Arabic"/>
          <w:color w:val="000000" w:themeColor="text1"/>
          <w:sz w:val="32"/>
          <w:szCs w:val="32"/>
          <w:rtl/>
        </w:rPr>
      </w:pPr>
      <w:r>
        <w:rPr>
          <w:rFonts w:ascii="Traditional Arabic" w:eastAsia="Times New Roman" w:hAnsi="Traditional Arabic" w:cs="Traditional Arabic"/>
          <w:color w:val="000000" w:themeColor="text1"/>
          <w:sz w:val="32"/>
          <w:szCs w:val="32"/>
          <w:rtl/>
          <w:lang w:eastAsia="fr-FR"/>
        </w:rPr>
        <w:t xml:space="preserve">    والمسيحية خصوصا في نسختها الغربية، هي الديانة الأكثر تمركزا حول الإنسان. التي عرفها العالم، وهي- بالتعارض المطلق مع الوثنية القديمة وديانات آسيا- لم تؤسس ثنائية وتعارضا بين الإنسان والطبيعة فقط، بل وألحت على أن إستغلال الإنسان للطبيعة ناتج عن إراده الله، وأن نزع القداسة عن الطبيعة في الإنجيل هو واجب مقدس يدخل ضمن مخطط إلهي. والتراتب المصرح به في النصوص المذكورة سابقا، أي سمو الإنسان على بقية المخلوقات وخلق الله للإنسان على صورته، قدم تبريرا لسلوك الإنسان تجاه الطبيعة ولهيمنته عليها، شرعية لمكانته المميزة وسط الكون، شرعية أدت إلى موقف (متغطرس) تجاه الطبيعة. </w:t>
      </w:r>
      <w:r>
        <w:rPr>
          <w:rFonts w:ascii="Traditional Arabic" w:hAnsi="Traditional Arabic" w:cs="Traditional Arabic"/>
          <w:color w:val="000000" w:themeColor="text1"/>
          <w:sz w:val="32"/>
          <w:szCs w:val="32"/>
          <w:rtl/>
        </w:rPr>
        <w:t xml:space="preserve">وهكذا تبقى مقاربات هانس يوناس الأخلاقية في فلسفة البيئة من أهم المقاربات في هذا المجال، وذلك لدورها الرائد في إثارة وتنبيه وعي معظم المشتغلين والمهتميــن بفلسفات البيئة. </w:t>
      </w:r>
    </w:p>
    <w:p w:rsidR="008D3A64" w:rsidRDefault="008D3A64" w:rsidP="008D3A64">
      <w:pPr>
        <w:shd w:val="clear" w:color="auto" w:fill="FFFFFF"/>
        <w:bidi/>
        <w:spacing w:after="100" w:afterAutospacing="1" w:line="540" w:lineRule="atLeast"/>
        <w:jc w:val="both"/>
        <w:rPr>
          <w:rFonts w:ascii="Traditional Arabic" w:eastAsia="Times New Roman" w:hAnsi="Traditional Arabic" w:cs="Traditional Arabic"/>
          <w:b/>
          <w:bCs/>
          <w:color w:val="000000"/>
          <w:sz w:val="32"/>
          <w:szCs w:val="32"/>
          <w:rtl/>
          <w:lang w:eastAsia="fr-FR"/>
        </w:rPr>
      </w:pPr>
      <w:r>
        <w:rPr>
          <w:rFonts w:ascii="Traditional Arabic" w:eastAsia="Times New Roman" w:hAnsi="Traditional Arabic" w:cs="Traditional Arabic"/>
          <w:b/>
          <w:bCs/>
          <w:color w:val="000000"/>
          <w:sz w:val="32"/>
          <w:szCs w:val="32"/>
          <w:rtl/>
          <w:lang w:eastAsia="fr-FR"/>
        </w:rPr>
        <w:t>موقف مُلتبس:</w:t>
      </w:r>
    </w:p>
    <w:p w:rsidR="008D3A64" w:rsidRDefault="008D3A64" w:rsidP="008D3A64">
      <w:pPr>
        <w:shd w:val="clear" w:color="auto" w:fill="FFFFFF"/>
        <w:bidi/>
        <w:spacing w:after="100" w:afterAutospacing="1" w:line="540" w:lineRule="atLeast"/>
        <w:jc w:val="both"/>
        <w:rPr>
          <w:rFonts w:ascii="Traditional Arabic" w:eastAsia="Times New Roman" w:hAnsi="Traditional Arabic" w:cs="Traditional Arabic"/>
          <w:color w:val="000000"/>
          <w:sz w:val="32"/>
          <w:szCs w:val="32"/>
          <w:rtl/>
          <w:lang w:eastAsia="fr-FR"/>
        </w:rPr>
      </w:pPr>
      <w:r>
        <w:rPr>
          <w:rFonts w:ascii="Traditional Arabic" w:eastAsia="Times New Roman" w:hAnsi="Traditional Arabic" w:cs="Traditional Arabic"/>
          <w:color w:val="000000"/>
          <w:sz w:val="32"/>
          <w:szCs w:val="32"/>
          <w:rtl/>
          <w:lang w:eastAsia="fr-FR"/>
        </w:rPr>
        <w:t xml:space="preserve">وتأتي العلمانية كوجه أساس من الإنسانية، لكن أصبح الإيمان بها مُشابهاً لما انتقدته من الإيمان بالأديان أو الموروثات العقلية الغيبية ـ تستشهد المؤلفة بفرويد وتحذيره من الإلحاد المتعصب في كتابه «مستقبل وهم» ـ فالإيمان </w:t>
      </w:r>
      <w:r>
        <w:rPr>
          <w:rFonts w:ascii="Traditional Arabic" w:eastAsia="Times New Roman" w:hAnsi="Traditional Arabic" w:cs="Traditional Arabic"/>
          <w:color w:val="000000"/>
          <w:sz w:val="32"/>
          <w:szCs w:val="32"/>
          <w:rtl/>
          <w:lang w:eastAsia="fr-FR"/>
        </w:rPr>
        <w:lastRenderedPageBreak/>
        <w:t>الخرافي هو نفسه بالضبط اليوم الإلحاد المتطرف الذي يدافع عنه ريتشارد دوكينز. فالعلم المحتفى به اليوم ليس محصناً ضد الخطابات والممارسات القومية والعنصرية، لذا يجب مقاومة أي ادعاء بالنقاء والموضوعية والاستقلالية العلمية مقاومة شديدة. فكونك علمانياً يجعلك متواطئاً مع المواقف الاستعمارية الغربية الاستعلائية الجديدة، بينما يكون رفضك لإرث التنوير، متناقضاً بطبيعته مع أي مشروع نقدي.. إنها دوامة خانقة. وبالبطع نتأكد من هذه المعضلة عندنا في الشرق، حيث يبدو أي صوت تنويري مرادفاً للعمالة الغربية والاستعمار، وما شابه من قائمة الاتهامات المعهودة.</w:t>
      </w:r>
    </w:p>
    <w:p w:rsidR="008D3A64" w:rsidRDefault="008D3A64" w:rsidP="008D3A64">
      <w:pPr>
        <w:shd w:val="clear" w:color="auto" w:fill="FFFFFF"/>
        <w:bidi/>
        <w:spacing w:after="100" w:afterAutospacing="1" w:line="540" w:lineRule="atLeast"/>
        <w:jc w:val="both"/>
        <w:rPr>
          <w:rFonts w:ascii="Traditional Arabic" w:eastAsia="Times New Roman" w:hAnsi="Traditional Arabic" w:cs="Traditional Arabic"/>
          <w:color w:val="000000"/>
          <w:sz w:val="32"/>
          <w:szCs w:val="32"/>
          <w:rtl/>
          <w:lang w:eastAsia="fr-FR"/>
        </w:rPr>
      </w:pPr>
      <w:r>
        <w:rPr>
          <w:rFonts w:ascii="Traditional Arabic" w:eastAsia="Times New Roman" w:hAnsi="Traditional Arabic" w:cs="Traditional Arabic"/>
          <w:color w:val="000000"/>
          <w:sz w:val="32"/>
          <w:szCs w:val="32"/>
          <w:rtl/>
          <w:lang w:eastAsia="fr-FR"/>
        </w:rPr>
        <w:t>وتعود المؤلفة لتوضح في ظل هذه الأزمة أن «ما بعد الإنسانية» هي.. اللحظة التاريخية التي تمثل نهاية المعارضة بين الإنسانية ومناهضة الحركة الإنسانية، وتتبع نهجاً حوارياً مختلفاً يتطلع بإيجابية أكثر نحو بدائل جديدة. وترى أن الحل أو أن هذه البدائل تتمثل في مفهوم (أوروبا البدوية) أو (التحول إلى الأقلية) أي.. مقاومة القومية وكراهية الأجانب والعنصرية، وهي العادات السيئة لأوروبا الامبراطورية القديمة، ذلك من خلال اتخاذ موقف حازم ضد متلازمة (أوروبا الحصن) وإحياء التسامح بوصفه أداة للعدالة الاجتماعية.</w:t>
      </w:r>
    </w:p>
    <w:p w:rsidR="008D3A64" w:rsidRDefault="008D3A64" w:rsidP="008D3A64">
      <w:pPr>
        <w:shd w:val="clear" w:color="auto" w:fill="FFFFFF"/>
        <w:bidi/>
        <w:spacing w:after="100" w:afterAutospacing="1" w:line="540" w:lineRule="atLeast"/>
        <w:jc w:val="both"/>
        <w:rPr>
          <w:rFonts w:ascii="Traditional Arabic" w:eastAsia="Times New Roman" w:hAnsi="Traditional Arabic" w:cs="Traditional Arabic"/>
          <w:color w:val="000000"/>
          <w:sz w:val="32"/>
          <w:szCs w:val="32"/>
          <w:rtl/>
          <w:lang w:eastAsia="fr-FR"/>
        </w:rPr>
      </w:pPr>
      <w:r>
        <w:rPr>
          <w:rFonts w:ascii="Traditional Arabic" w:eastAsia="Times New Roman" w:hAnsi="Traditional Arabic" w:cs="Traditional Arabic"/>
          <w:color w:val="000000"/>
          <w:sz w:val="32"/>
          <w:szCs w:val="32"/>
          <w:rtl/>
          <w:lang w:eastAsia="fr-FR"/>
        </w:rPr>
        <w:t>من ناحية أخرى يتمثل مصطلح (أوروبا البدوية) هذا بأن تتحول أوروبا إلى أقلية، أي.. رفض الدور التبشيري الذي خصصته أوروبا لنفسها، باعتبارها مركزاً مزعوماً للعالم. وفي الأخير لا تنفي المؤلفة أن فكرتها هذه قد تبدو خيالية، إلا أنها استباقية لاختلاق رؤى ومشاريع بديلة للأزمة القائمة بالفعل.</w:t>
      </w:r>
    </w:p>
    <w:p w:rsidR="008D3A64" w:rsidRDefault="008D3A64" w:rsidP="008D3A64">
      <w:pPr>
        <w:pStyle w:val="Paragraphedeliste"/>
        <w:numPr>
          <w:ilvl w:val="0"/>
          <w:numId w:val="1"/>
        </w:numPr>
        <w:bidi/>
        <w:spacing w:after="200" w:line="276" w:lineRule="auto"/>
        <w:jc w:val="both"/>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هاجس سلطة التقنية:</w:t>
      </w:r>
    </w:p>
    <w:p w:rsidR="008D3A64" w:rsidRDefault="008D3A64" w:rsidP="008D3A64">
      <w:pPr>
        <w:bidi/>
        <w:jc w:val="both"/>
        <w:rPr>
          <w:rFonts w:ascii="Traditional Arabic" w:hAnsi="Traditional Arabic" w:cs="Traditional Arabic"/>
          <w:sz w:val="32"/>
          <w:szCs w:val="32"/>
          <w:lang w:bidi="ar-DZ"/>
        </w:rPr>
      </w:pPr>
      <w:r>
        <w:rPr>
          <w:rFonts w:ascii="Traditional Arabic" w:hAnsi="Traditional Arabic" w:cs="Traditional Arabic"/>
          <w:sz w:val="36"/>
          <w:szCs w:val="36"/>
          <w:rtl/>
          <w:lang w:bidi="ar-DZ"/>
        </w:rPr>
        <w:t xml:space="preserve">      </w:t>
      </w:r>
      <w:r>
        <w:rPr>
          <w:rFonts w:ascii="Traditional Arabic" w:hAnsi="Traditional Arabic" w:cs="Traditional Arabic"/>
          <w:sz w:val="32"/>
          <w:szCs w:val="32"/>
          <w:rtl/>
          <w:lang w:bidi="ar-DZ"/>
        </w:rPr>
        <w:t xml:space="preserve">لم يكن النقاش الفكري المفتوح الذي طال بعمق المسائل البيولوجية والطبية والأخلاقية معزولاً عن </w:t>
      </w:r>
      <w:r>
        <w:rPr>
          <w:rFonts w:ascii="Traditional Arabic" w:hAnsi="Traditional Arabic" w:cs="Traditional Arabic"/>
          <w:sz w:val="32"/>
          <w:szCs w:val="32"/>
          <w:rtl/>
          <w:lang w:val="en-US" w:bidi="ar-DZ"/>
        </w:rPr>
        <w:t xml:space="preserve">المأزق الذي خلفه الهاجس التقني، هذا الأخير دفع </w:t>
      </w:r>
      <w:r>
        <w:rPr>
          <w:rFonts w:ascii="Traditional Arabic" w:hAnsi="Traditional Arabic" w:cs="Traditional Arabic"/>
          <w:sz w:val="32"/>
          <w:szCs w:val="32"/>
          <w:rtl/>
          <w:lang w:bidi="ar-DZ"/>
        </w:rPr>
        <w:t>العلماء والفلاسفة إلى إثارة مختلف المساءلات حول مشروعية الحرص على التوجيه العقلاني السليم لمسار العلم، وعدم الوقوع في فخ استباحة العمل العلمي التجريبي بعيداً عن أصول التطاول على الطبيعة الانسانية واختراق هوية الكائنات الحية، والتحذير المتزايد من التقنية  وانعكاسها السلبي على مستقبل الكائنات الحية بعامة والوجود الانساني بصفة خاصة.</w:t>
      </w:r>
    </w:p>
    <w:p w:rsidR="008D3A64" w:rsidRDefault="008D3A64" w:rsidP="008D3A64">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     ومن ناحية أخرى، قد تبين أنه وجود إحساس عام لدى العلماء والفلاسفة ورجال الدين بضرورة تكثيف مشاغلهم وهمومهم الفكرية حول امكانية انعاش الجدل العلمي والأخلاقي الذي يدخل في سياق معرفة حدود </w:t>
      </w:r>
      <w:r>
        <w:rPr>
          <w:rFonts w:ascii="Traditional Arabic" w:hAnsi="Traditional Arabic" w:cs="Traditional Arabic"/>
          <w:sz w:val="32"/>
          <w:szCs w:val="32"/>
          <w:rtl/>
          <w:lang w:bidi="ar-DZ"/>
        </w:rPr>
        <w:lastRenderedPageBreak/>
        <w:t xml:space="preserve">التقنية، والتصورات التي تصل إليها قناعة العلماء الذين يشتغلون في حقل التجريب حين تتعاظم إرادتهم حول عصرنة الخطاب العلمي وتكييف الممارسات التقنية حيال التطورات التي تحصل على المستوى البيولوجي والطبي . </w:t>
      </w:r>
    </w:p>
    <w:p w:rsidR="008D3A64" w:rsidRDefault="008D3A64" w:rsidP="008D3A64">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     إن وجوب اعادة النظر في المشكلات التي يواجهها العلماء تحدث أثناء الانتقال من المستوى النظري إلى المستوى التطبيقي والذي يتصل بصورة مباشرة أو غير مباشرة بالحياة الانسانية، وما يقتضيه محتوى المناهج العلمية في البحث عن قيمتها وحدود المعارف العلمية المستخلصة من التجارب التي تقام على الحياة الانسانية، فتسعى إلى تجسيد رؤية نقدية ابستيمولوجية موجهة أساساً إلى وجود بعض الاعتراضات التي تمس العمق التقني في تطبيقاته العلمية المتعددة، إذ " يسترشد العلم الناضج بنموذج علمي وحيد والنموذج العلمي يحدد معيار النشاط داخل الميدان العلمي الذي يحكمه. إنه يقوم بتنسيق وتوجيه أعمال المشتغلين بالعلم السوي الذي يعمل على حل "الألغاز"داخل المجال الخاص به"</w:t>
      </w:r>
      <w:r>
        <w:rPr>
          <w:rStyle w:val="Appelnotedebasdep"/>
          <w:rFonts w:ascii="Traditional Arabic" w:hAnsi="Traditional Arabic" w:cs="Traditional Arabic"/>
          <w:sz w:val="32"/>
          <w:szCs w:val="32"/>
          <w:lang w:bidi="ar-DZ"/>
        </w:rPr>
        <w:footnoteReference w:customMarkFollows="1" w:id="2"/>
        <w:t>1</w:t>
      </w:r>
      <w:r>
        <w:rPr>
          <w:rFonts w:ascii="Traditional Arabic" w:hAnsi="Traditional Arabic" w:cs="Traditional Arabic"/>
          <w:sz w:val="32"/>
          <w:szCs w:val="32"/>
          <w:rtl/>
          <w:lang w:bidi="ar-DZ"/>
        </w:rPr>
        <w:t>، ولا يتعدى إلى غيرها دون معرفة حدوده، لهذا كانت الدعوة إلى ربط التقنية بالأخلاق وبالواقع مسألة مشروعة</w:t>
      </w:r>
      <w:r>
        <w:rPr>
          <w:rFonts w:ascii="Traditional Arabic" w:hAnsi="Traditional Arabic" w:cs="Traditional Arabic"/>
          <w:sz w:val="32"/>
          <w:szCs w:val="32"/>
          <w:rtl/>
        </w:rPr>
        <w:t>، لهذا يقول "فرانسوا داغوني":" إننا نعتقد بالفعل أنه في استطاعة الفيلسوف بل ينبغي عليه أن يأخذ هذا الدور، حتى ينسف هذه الذرائع ويعيد النظر في نتائج هذه التطبيقات"</w:t>
      </w:r>
      <w:r>
        <w:rPr>
          <w:rStyle w:val="Appelnotedebasdep"/>
          <w:rFonts w:ascii="Traditional Arabic" w:hAnsi="Traditional Arabic" w:cs="Traditional Arabic"/>
          <w:sz w:val="32"/>
          <w:szCs w:val="32"/>
        </w:rPr>
        <w:footnoteReference w:customMarkFollows="1" w:id="3"/>
        <w:t>2</w:t>
      </w:r>
      <w:r>
        <w:rPr>
          <w:rFonts w:ascii="Traditional Arabic" w:hAnsi="Traditional Arabic" w:cs="Traditional Arabic"/>
          <w:sz w:val="32"/>
          <w:szCs w:val="32"/>
          <w:rtl/>
        </w:rPr>
        <w:t xml:space="preserve"> ، التي خلقت رعباً كبيرا حول مستقبل البحوث التجريبية من دون تقييدها بغطار أخلاقي ملائم لها .</w:t>
      </w:r>
    </w:p>
    <w:p w:rsidR="008D3A64" w:rsidRDefault="008D3A64" w:rsidP="008D3A64">
      <w:pPr>
        <w:bidi/>
        <w:jc w:val="both"/>
        <w:rPr>
          <w:rFonts w:ascii="Traditional Arabic" w:hAnsi="Traditional Arabic" w:cs="Traditional Arabic"/>
          <w:sz w:val="32"/>
          <w:szCs w:val="32"/>
          <w:rtl/>
          <w:lang w:val="en-US" w:bidi="ar-DZ"/>
        </w:rPr>
      </w:pPr>
      <w:r>
        <w:rPr>
          <w:rFonts w:ascii="Traditional Arabic" w:hAnsi="Traditional Arabic" w:cs="Traditional Arabic"/>
          <w:sz w:val="32"/>
          <w:szCs w:val="32"/>
          <w:rtl/>
          <w:lang w:bidi="ar-DZ"/>
        </w:rPr>
        <w:t xml:space="preserve">       لهذا ساد الاعتقاد أن تطبيق التقنية دون الوعي بتداعياتها، قد تنجر عنه أخطار كبيرة ومعضلات صعبة لم يتوقعها العلماء منذ البداية، وهو الاستسلام لإرادة صارمة للقيام بالتجارب دون مراعاة أي سلم أخلاقي، وجنوح التقنية إلى التطبيقات الواقعية التي فرضتها عنوة على الجوانب البيولوجية والتي تمس الكائنات الحية بما في ذلك الانسان، لهذا "وصف الع</w:t>
      </w:r>
      <w:r>
        <w:rPr>
          <w:rFonts w:ascii="Traditional Arabic" w:hAnsi="Traditional Arabic" w:cs="Traditional Arabic"/>
          <w:sz w:val="32"/>
          <w:szCs w:val="32"/>
          <w:rtl/>
          <w:lang w:val="en-US" w:bidi="ar-DZ"/>
        </w:rPr>
        <w:t>قل الأداتي بوصفه دليلا على ظاهرة التمركز حول العقل التقني التي أرساها المجتمع الحديث"</w:t>
      </w:r>
      <w:r>
        <w:rPr>
          <w:rStyle w:val="Appelnotedebasdep"/>
          <w:rFonts w:ascii="Traditional Arabic" w:hAnsi="Traditional Arabic" w:cs="Traditional Arabic"/>
          <w:sz w:val="32"/>
          <w:szCs w:val="32"/>
          <w:lang w:val="en-US" w:bidi="ar-DZ"/>
        </w:rPr>
        <w:footnoteReference w:customMarkFollows="1" w:id="4"/>
        <w:t>1</w:t>
      </w:r>
      <w:r>
        <w:rPr>
          <w:rFonts w:ascii="Traditional Arabic" w:hAnsi="Traditional Arabic" w:cs="Traditional Arabic"/>
          <w:sz w:val="32"/>
          <w:szCs w:val="32"/>
          <w:rtl/>
          <w:lang w:val="en-US" w:bidi="ar-DZ"/>
        </w:rPr>
        <w:t xml:space="preserve"> ، كنمط يحدد الوجهة الحضارية للمجتمعات المتقدمة في صناعة التطور المادي والفكري وتجسيد شعار الوفاء لإرادة المعرفة التي سوف تتحول مع مرور الزمن إلى إرادة القوة.</w:t>
      </w:r>
    </w:p>
    <w:p w:rsidR="008D3A64" w:rsidRDefault="008D3A64" w:rsidP="008D3A64">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val="en-US" w:bidi="ar-DZ"/>
        </w:rPr>
        <w:t xml:space="preserve">     </w:t>
      </w:r>
      <w:r>
        <w:rPr>
          <w:rFonts w:ascii="Traditional Arabic" w:hAnsi="Traditional Arabic" w:cs="Traditional Arabic"/>
          <w:sz w:val="32"/>
          <w:szCs w:val="32"/>
          <w:rtl/>
        </w:rPr>
        <w:t xml:space="preserve">ولدعم الطابع الأنثروبولوجي للتقنية يعمد المفكرون إلى تقديم حجتين: الأولى منها تجزم بأنها مؤسسة على العلوم الطبيعية الحديثة، والثانية، تعد إحدى تطبيقاتها الملموسة، فلقد أصبحت هذه العلوم بفضل اختراعاتها الخارقة إحدى أبرز الفتوحات الإنسانية التي جعلت التقنية تنتمي للحضارة ومشروع الأنسنة، ولا يمكن تقييمها إلا بربط مساهمتها في تطوير الثقافة الإنسانية في مجال البحوث الحيوية، </w:t>
      </w:r>
      <w:r>
        <w:rPr>
          <w:rFonts w:ascii="Traditional Arabic" w:hAnsi="Traditional Arabic" w:cs="Traditional Arabic"/>
          <w:sz w:val="32"/>
          <w:szCs w:val="32"/>
          <w:rtl/>
          <w:lang w:bidi="ar-DZ"/>
        </w:rPr>
        <w:t xml:space="preserve">" </w:t>
      </w:r>
      <w:r>
        <w:rPr>
          <w:rFonts w:ascii="Traditional Arabic" w:hAnsi="Traditional Arabic" w:cs="Traditional Arabic"/>
          <w:sz w:val="32"/>
          <w:szCs w:val="32"/>
          <w:rtl/>
        </w:rPr>
        <w:t xml:space="preserve">لأن العلم والتقنية يجب اعتبارهما كنمطين </w:t>
      </w:r>
      <w:r>
        <w:rPr>
          <w:rFonts w:ascii="Traditional Arabic" w:hAnsi="Traditional Arabic" w:cs="Traditional Arabic"/>
          <w:sz w:val="32"/>
          <w:szCs w:val="32"/>
          <w:rtl/>
        </w:rPr>
        <w:lastRenderedPageBreak/>
        <w:t>لترقية نشاطهما وبتأثير أحدهما في الآخر عندما يتعلق الأمر بطرح المشكلات أو بتقديم الحلول الممكنة"</w:t>
      </w:r>
      <w:r>
        <w:rPr>
          <w:rStyle w:val="Appelnotedebasdep"/>
          <w:rFonts w:ascii="Traditional Arabic" w:hAnsi="Traditional Arabic" w:cs="Traditional Arabic"/>
          <w:sz w:val="32"/>
          <w:szCs w:val="32"/>
        </w:rPr>
        <w:footnoteReference w:customMarkFollows="1" w:id="5"/>
        <w:t>2</w:t>
      </w:r>
      <w:r>
        <w:rPr>
          <w:rFonts w:ascii="Traditional Arabic" w:hAnsi="Traditional Arabic" w:cs="Traditional Arabic"/>
          <w:sz w:val="32"/>
          <w:szCs w:val="32"/>
          <w:rtl/>
        </w:rPr>
        <w:t>، فهذه العلاقة القائمة بينهما، تسهم بشكل أو بآخر في ترقية الأداء التجريبي السليم.</w:t>
      </w:r>
    </w:p>
    <w:p w:rsidR="008D3A64" w:rsidRDefault="008D3A64" w:rsidP="008D3A64">
      <w:pPr>
        <w:bidi/>
        <w:jc w:val="both"/>
        <w:rPr>
          <w:rFonts w:ascii="Traditional Arabic" w:hAnsi="Traditional Arabic" w:cs="Traditional Arabic"/>
          <w:sz w:val="32"/>
          <w:szCs w:val="32"/>
          <w:rtl/>
          <w:lang w:val="en-US" w:bidi="ar-DZ"/>
        </w:rPr>
      </w:pPr>
      <w:r>
        <w:rPr>
          <w:rFonts w:ascii="Traditional Arabic" w:hAnsi="Traditional Arabic" w:cs="Traditional Arabic"/>
          <w:sz w:val="32"/>
          <w:szCs w:val="32"/>
          <w:rtl/>
          <w:lang w:val="en-US" w:bidi="ar-DZ"/>
        </w:rPr>
        <w:t xml:space="preserve">      إذا كان النشاط العلمي يستهدف الحقيقة بدافع المعرفة، ودفع سبل التقنية إلى حدودها القصوى، فهذا الفضل يعود إلى استراتيجية تغيير وضعية الانسان وفي ترقية تفكيره وانتقاله من مرحلة الفكر اللاعلمي إلى مرحلة الفكر العلمي الممنهج، وبناء مجموعة من القوانين ومعرفة الظواهر الطبيعية المحيطة به، وتخطي الحالة الدينية والميتافيزيقية إلى المرحلة الوضعية على حد تعبير "أوجست كونت"، في الوقت الذي أصبح فيه "العلم يهذب العقل ويعلمه"</w:t>
      </w:r>
      <w:r>
        <w:rPr>
          <w:rStyle w:val="Appelnotedebasdep"/>
          <w:rFonts w:ascii="Traditional Arabic" w:hAnsi="Traditional Arabic" w:cs="Traditional Arabic"/>
          <w:sz w:val="32"/>
          <w:szCs w:val="32"/>
          <w:lang w:val="en-US" w:bidi="ar-DZ"/>
        </w:rPr>
        <w:footnoteReference w:customMarkFollows="1" w:id="6"/>
        <w:t>3</w:t>
      </w:r>
      <w:r>
        <w:rPr>
          <w:rFonts w:ascii="Traditional Arabic" w:hAnsi="Traditional Arabic" w:cs="Traditional Arabic"/>
          <w:sz w:val="32"/>
          <w:szCs w:val="32"/>
          <w:rtl/>
          <w:lang w:val="en-US" w:bidi="ar-DZ"/>
        </w:rPr>
        <w:t xml:space="preserve"> بلغة "غاستون باشلار". </w:t>
      </w:r>
    </w:p>
    <w:p w:rsidR="008D3A64" w:rsidRPr="00B07136" w:rsidRDefault="008D3A64" w:rsidP="008D3A64">
      <w:pPr>
        <w:jc w:val="right"/>
        <w:rPr>
          <w:rFonts w:ascii="Traditional Arabic" w:hAnsi="Traditional Arabic" w:cs="Traditional Arabic" w:hint="cs"/>
          <w:sz w:val="32"/>
          <w:szCs w:val="32"/>
          <w:rtl/>
          <w:lang w:bidi="ar-DZ"/>
        </w:rPr>
      </w:pPr>
    </w:p>
    <w:sectPr w:rsidR="008D3A64" w:rsidRPr="00B07136" w:rsidSect="00D52160">
      <w:headerReference w:type="even" r:id="rId7"/>
      <w:headerReference w:type="default" r:id="rId8"/>
      <w:footerReference w:type="even" r:id="rId9"/>
      <w:footerReference w:type="default" r:id="rId10"/>
      <w:headerReference w:type="first" r:id="rId11"/>
      <w:footerReference w:type="first" r:id="rId12"/>
      <w:pgSz w:w="11906" w:h="16838"/>
      <w:pgMar w:top="1418" w:right="1418" w:bottom="1418" w:left="1418"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27729" w:rsidRDefault="00F27729" w:rsidP="008D3A64">
      <w:pPr>
        <w:spacing w:after="0" w:line="240" w:lineRule="auto"/>
      </w:pPr>
      <w:r>
        <w:separator/>
      </w:r>
    </w:p>
  </w:endnote>
  <w:endnote w:type="continuationSeparator" w:id="1">
    <w:p w:rsidR="00F27729" w:rsidRDefault="00F27729" w:rsidP="008D3A6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Traditional Arabic">
    <w:panose1 w:val="02020603050405020304"/>
    <w:charset w:val="00"/>
    <w:family w:val="roman"/>
    <w:pitch w:val="variable"/>
    <w:sig w:usb0="00002003" w:usb1="80000000" w:usb2="00000008" w:usb3="00000000" w:csb0="00000041"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3A64" w:rsidRDefault="008D3A64">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72512"/>
      <w:docPartObj>
        <w:docPartGallery w:val="Page Numbers (Bottom of Page)"/>
        <w:docPartUnique/>
      </w:docPartObj>
    </w:sdtPr>
    <w:sdtContent>
      <w:p w:rsidR="008D3A64" w:rsidRDefault="008D3A64">
        <w:pPr>
          <w:pStyle w:val="Pieddepage"/>
          <w:jc w:val="center"/>
        </w:pPr>
        <w:fldSimple w:instr=" PAGE   \* MERGEFORMAT ">
          <w:r>
            <w:rPr>
              <w:noProof/>
            </w:rPr>
            <w:t>6</w:t>
          </w:r>
        </w:fldSimple>
      </w:p>
    </w:sdtContent>
  </w:sdt>
  <w:p w:rsidR="008D3A64" w:rsidRDefault="008D3A64">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3A64" w:rsidRDefault="008D3A64">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27729" w:rsidRDefault="00F27729" w:rsidP="008D3A64">
      <w:pPr>
        <w:spacing w:after="0" w:line="240" w:lineRule="auto"/>
      </w:pPr>
      <w:r>
        <w:separator/>
      </w:r>
    </w:p>
  </w:footnote>
  <w:footnote w:type="continuationSeparator" w:id="1">
    <w:p w:rsidR="00F27729" w:rsidRDefault="00F27729" w:rsidP="008D3A64">
      <w:pPr>
        <w:spacing w:after="0" w:line="240" w:lineRule="auto"/>
      </w:pPr>
      <w:r>
        <w:continuationSeparator/>
      </w:r>
    </w:p>
  </w:footnote>
  <w:footnote w:id="2">
    <w:p w:rsidR="008D3A64" w:rsidRDefault="008D3A64" w:rsidP="008D3A64">
      <w:pPr>
        <w:pStyle w:val="Notedebasdepage"/>
        <w:bidi/>
        <w:rPr>
          <w:rFonts w:ascii="Sakkal Majalla" w:hAnsi="Sakkal Majalla" w:cs="Sakkal Majalla"/>
          <w:sz w:val="24"/>
          <w:szCs w:val="24"/>
          <w:lang w:val="fr-FR" w:bidi="ar-DZ"/>
        </w:rPr>
      </w:pPr>
      <w:r>
        <w:rPr>
          <w:rStyle w:val="Appelnotedebasdep"/>
          <w:rFonts w:ascii="Sakkal Majalla" w:hAnsi="Sakkal Majalla" w:cs="Sakkal Majalla"/>
          <w:sz w:val="24"/>
          <w:szCs w:val="24"/>
        </w:rPr>
        <w:t>1</w:t>
      </w:r>
      <w:r>
        <w:rPr>
          <w:rFonts w:ascii="Sakkal Majalla" w:hAnsi="Sakkal Majalla" w:cs="Sakkal Majalla"/>
          <w:sz w:val="24"/>
          <w:szCs w:val="24"/>
        </w:rPr>
        <w:t xml:space="preserve"> </w:t>
      </w:r>
      <w:r>
        <w:rPr>
          <w:rFonts w:ascii="Sakkal Majalla" w:hAnsi="Sakkal Majalla" w:cs="Sakkal Majalla"/>
          <w:sz w:val="24"/>
          <w:szCs w:val="24"/>
          <w:rtl/>
          <w:lang w:bidi="ar-DZ"/>
        </w:rPr>
        <w:t xml:space="preserve">- </w:t>
      </w:r>
      <w:r>
        <w:rPr>
          <w:rFonts w:ascii="Sakkal Majalla" w:hAnsi="Sakkal Majalla" w:cs="Sakkal Majalla"/>
          <w:sz w:val="24"/>
          <w:szCs w:val="24"/>
          <w:rtl/>
        </w:rPr>
        <w:t>آلان شالمرز: نظريات العلم، ترجمة الحسين سحبان وفؤاد الصفا، دار توبقال للنشر، الدار البيضاء- المغرب، ط1، 1991.ص 96.</w:t>
      </w:r>
    </w:p>
  </w:footnote>
  <w:footnote w:id="3">
    <w:p w:rsidR="008D3A64" w:rsidRDefault="008D3A64" w:rsidP="008D3A64">
      <w:pPr>
        <w:pStyle w:val="Notedebasdepage"/>
        <w:rPr>
          <w:rFonts w:ascii="Calibri" w:hAnsi="Calibri" w:cs="Arial"/>
          <w:rtl/>
          <w:lang w:bidi="ar-DZ"/>
        </w:rPr>
      </w:pPr>
      <w:r>
        <w:rPr>
          <w:rStyle w:val="Appelnotedebasdep"/>
          <w:sz w:val="24"/>
          <w:szCs w:val="24"/>
        </w:rPr>
        <w:t>2</w:t>
      </w:r>
      <w:r>
        <w:rPr>
          <w:sz w:val="24"/>
          <w:szCs w:val="24"/>
        </w:rPr>
        <w:t xml:space="preserve"> </w:t>
      </w:r>
      <w:r>
        <w:rPr>
          <w:sz w:val="24"/>
          <w:szCs w:val="24"/>
          <w:rtl/>
          <w:lang w:bidi="ar-DZ"/>
        </w:rPr>
        <w:t>-</w:t>
      </w:r>
      <w:r>
        <w:rPr>
          <w:rFonts w:asciiTheme="majorBidi" w:hAnsiTheme="majorBidi" w:cstheme="majorBidi"/>
          <w:sz w:val="24"/>
          <w:szCs w:val="24"/>
          <w:lang w:bidi="ar-DZ"/>
        </w:rPr>
        <w:t xml:space="preserve"> </w:t>
      </w:r>
      <w:r>
        <w:rPr>
          <w:rFonts w:asciiTheme="majorBidi" w:hAnsiTheme="majorBidi" w:cstheme="majorBidi"/>
          <w:sz w:val="24"/>
          <w:szCs w:val="24"/>
        </w:rPr>
        <w:t>François Dagognet , Le vivant, éditions, Bordas, Paris, 1988, p.164.</w:t>
      </w:r>
    </w:p>
  </w:footnote>
  <w:footnote w:id="4">
    <w:p w:rsidR="008D3A64" w:rsidRDefault="008D3A64" w:rsidP="008D3A64">
      <w:pPr>
        <w:pStyle w:val="Notedebasdepage"/>
        <w:bidi/>
        <w:rPr>
          <w:rFonts w:ascii="Sakkal Majalla" w:hAnsi="Sakkal Majalla" w:cs="Sakkal Majalla"/>
          <w:sz w:val="24"/>
          <w:szCs w:val="24"/>
          <w:rtl/>
          <w:lang w:bidi="ar-DZ"/>
        </w:rPr>
      </w:pPr>
      <w:r>
        <w:rPr>
          <w:rStyle w:val="Appelnotedebasdep"/>
          <w:rFonts w:ascii="Sakkal Majalla" w:hAnsi="Sakkal Majalla" w:cs="Sakkal Majalla"/>
          <w:sz w:val="24"/>
          <w:szCs w:val="24"/>
        </w:rPr>
        <w:t>1</w:t>
      </w:r>
      <w:r>
        <w:rPr>
          <w:rFonts w:ascii="Sakkal Majalla" w:hAnsi="Sakkal Majalla" w:cs="Sakkal Majalla"/>
          <w:sz w:val="24"/>
          <w:szCs w:val="24"/>
        </w:rPr>
        <w:t xml:space="preserve"> </w:t>
      </w:r>
      <w:r>
        <w:rPr>
          <w:rFonts w:ascii="Sakkal Majalla" w:hAnsi="Sakkal Majalla" w:cs="Sakkal Majalla"/>
          <w:sz w:val="24"/>
          <w:szCs w:val="24"/>
          <w:rtl/>
          <w:lang w:bidi="ar-DZ"/>
        </w:rPr>
        <w:t>– هابرماس التقنية والعلم كايديولوجيا ، ترجمة، إلياس حاجوج، وزارة الثقافة ، دمشق سوريا، ط1، 1999، ص 88.</w:t>
      </w:r>
    </w:p>
  </w:footnote>
  <w:footnote w:id="5">
    <w:p w:rsidR="008D3A64" w:rsidRDefault="008D3A64" w:rsidP="008D3A64">
      <w:pPr>
        <w:pStyle w:val="Notedebasdepage"/>
        <w:rPr>
          <w:rFonts w:asciiTheme="majorBidi" w:hAnsiTheme="majorBidi" w:cstheme="majorBidi"/>
          <w:sz w:val="24"/>
          <w:szCs w:val="24"/>
          <w:lang w:bidi="ar-DZ"/>
        </w:rPr>
      </w:pPr>
      <w:r>
        <w:rPr>
          <w:rStyle w:val="Appelnotedebasdep"/>
          <w:rFonts w:asciiTheme="majorBidi" w:hAnsiTheme="majorBidi" w:cstheme="majorBidi"/>
          <w:sz w:val="24"/>
          <w:szCs w:val="24"/>
        </w:rPr>
        <w:t>2</w:t>
      </w:r>
      <w:r>
        <w:rPr>
          <w:rFonts w:asciiTheme="majorBidi" w:hAnsiTheme="majorBidi" w:cstheme="majorBidi"/>
          <w:sz w:val="24"/>
          <w:szCs w:val="24"/>
        </w:rPr>
        <w:t xml:space="preserve"> </w:t>
      </w:r>
      <w:r>
        <w:rPr>
          <w:rFonts w:asciiTheme="majorBidi" w:hAnsiTheme="majorBidi" w:cstheme="majorBidi"/>
          <w:sz w:val="24"/>
          <w:szCs w:val="24"/>
          <w:lang w:bidi="ar-DZ"/>
        </w:rPr>
        <w:t>-</w:t>
      </w:r>
      <w:r>
        <w:rPr>
          <w:rFonts w:asciiTheme="majorBidi" w:hAnsiTheme="majorBidi" w:cstheme="majorBidi"/>
          <w:sz w:val="24"/>
          <w:szCs w:val="24"/>
        </w:rPr>
        <w:t xml:space="preserve"> G.Conguilhem, connaissance et vie, Ed, Vrin, Paris,1967, p. 125.</w:t>
      </w:r>
    </w:p>
  </w:footnote>
  <w:footnote w:id="6">
    <w:p w:rsidR="008D3A64" w:rsidRDefault="008D3A64" w:rsidP="008D3A64">
      <w:pPr>
        <w:pStyle w:val="Notedefin"/>
        <w:ind w:left="568"/>
        <w:jc w:val="right"/>
        <w:rPr>
          <w:rtl/>
          <w:lang w:val="fr-FR" w:bidi="ar-DZ"/>
        </w:rPr>
      </w:pPr>
      <w:r>
        <w:rPr>
          <w:rStyle w:val="Appelnotedebasdep"/>
          <w:sz w:val="24"/>
          <w:szCs w:val="24"/>
          <w:lang w:val="fr-FR"/>
        </w:rPr>
        <w:t>3</w:t>
      </w:r>
      <w:r>
        <w:rPr>
          <w:sz w:val="24"/>
          <w:szCs w:val="24"/>
          <w:lang w:val="fr-FR"/>
        </w:rPr>
        <w:t xml:space="preserve"> - </w:t>
      </w:r>
      <w:r>
        <w:rPr>
          <w:rFonts w:asciiTheme="majorBidi" w:hAnsiTheme="majorBidi" w:cstheme="majorBidi"/>
          <w:sz w:val="24"/>
          <w:szCs w:val="24"/>
          <w:lang w:val="fr-FR"/>
        </w:rPr>
        <w:t>Gaston Bachelard: la philosophie du non, PUF, 4éd, Paris, 1994, p.29.</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3A64" w:rsidRDefault="008D3A64">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3A64" w:rsidRDefault="008D3A64">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3A64" w:rsidRDefault="008D3A64">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86935A6"/>
    <w:multiLevelType w:val="hybridMultilevel"/>
    <w:tmpl w:val="E0AA898C"/>
    <w:lvl w:ilvl="0" w:tplc="3D3A2A7A">
      <w:start w:val="1"/>
      <w:numFmt w:val="decimal"/>
      <w:lvlText w:val="%1-"/>
      <w:lvlJc w:val="left"/>
      <w:pPr>
        <w:ind w:left="1080" w:hanging="720"/>
      </w:p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BA3B9B"/>
    <w:rsid w:val="000023A2"/>
    <w:rsid w:val="000925EF"/>
    <w:rsid w:val="000E1C4E"/>
    <w:rsid w:val="001532FC"/>
    <w:rsid w:val="00210684"/>
    <w:rsid w:val="002F1A5B"/>
    <w:rsid w:val="00357E5E"/>
    <w:rsid w:val="003C2882"/>
    <w:rsid w:val="00465FA8"/>
    <w:rsid w:val="004B5B8B"/>
    <w:rsid w:val="008D3A64"/>
    <w:rsid w:val="009D10F4"/>
    <w:rsid w:val="00B07136"/>
    <w:rsid w:val="00BA3B9B"/>
    <w:rsid w:val="00C03A08"/>
    <w:rsid w:val="00D52160"/>
    <w:rsid w:val="00F2772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3B9B"/>
  </w:style>
  <w:style w:type="paragraph" w:styleId="Titre1">
    <w:name w:val="heading 1"/>
    <w:basedOn w:val="Normal"/>
    <w:link w:val="Titre1Car"/>
    <w:uiPriority w:val="9"/>
    <w:qFormat/>
    <w:rsid w:val="000E1C4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paragraph" w:styleId="Titre2">
    <w:name w:val="heading 2"/>
    <w:basedOn w:val="Normal"/>
    <w:link w:val="Titre2Car"/>
    <w:uiPriority w:val="9"/>
    <w:qFormat/>
    <w:rsid w:val="000E1C4E"/>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paragraph" w:styleId="Titre3">
    <w:name w:val="heading 3"/>
    <w:basedOn w:val="Normal"/>
    <w:link w:val="Titre3Car"/>
    <w:uiPriority w:val="9"/>
    <w:qFormat/>
    <w:rsid w:val="000E1C4E"/>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0E1C4E"/>
    <w:rPr>
      <w:rFonts w:ascii="Times New Roman" w:eastAsia="Times New Roman" w:hAnsi="Times New Roman" w:cs="Times New Roman"/>
      <w:b/>
      <w:bCs/>
      <w:kern w:val="36"/>
      <w:sz w:val="48"/>
      <w:szCs w:val="48"/>
      <w:lang w:eastAsia="fr-FR"/>
    </w:rPr>
  </w:style>
  <w:style w:type="character" w:customStyle="1" w:styleId="Titre2Car">
    <w:name w:val="Titre 2 Car"/>
    <w:basedOn w:val="Policepardfaut"/>
    <w:link w:val="Titre2"/>
    <w:uiPriority w:val="9"/>
    <w:rsid w:val="000E1C4E"/>
    <w:rPr>
      <w:rFonts w:ascii="Times New Roman" w:eastAsia="Times New Roman" w:hAnsi="Times New Roman" w:cs="Times New Roman"/>
      <w:b/>
      <w:bCs/>
      <w:sz w:val="36"/>
      <w:szCs w:val="36"/>
      <w:lang w:eastAsia="fr-FR"/>
    </w:rPr>
  </w:style>
  <w:style w:type="character" w:customStyle="1" w:styleId="Titre3Car">
    <w:name w:val="Titre 3 Car"/>
    <w:basedOn w:val="Policepardfaut"/>
    <w:link w:val="Titre3"/>
    <w:uiPriority w:val="9"/>
    <w:rsid w:val="000E1C4E"/>
    <w:rPr>
      <w:rFonts w:ascii="Times New Roman" w:eastAsia="Times New Roman" w:hAnsi="Times New Roman" w:cs="Times New Roman"/>
      <w:b/>
      <w:bCs/>
      <w:sz w:val="27"/>
      <w:szCs w:val="27"/>
      <w:lang w:eastAsia="fr-FR"/>
    </w:rPr>
  </w:style>
  <w:style w:type="character" w:customStyle="1" w:styleId="ztplmc">
    <w:name w:val="ztplmc"/>
    <w:basedOn w:val="Policepardfaut"/>
    <w:rsid w:val="000E1C4E"/>
  </w:style>
  <w:style w:type="character" w:customStyle="1" w:styleId="hwtze">
    <w:name w:val="hwtze"/>
    <w:basedOn w:val="Policepardfaut"/>
    <w:rsid w:val="000E1C4E"/>
  </w:style>
  <w:style w:type="character" w:customStyle="1" w:styleId="rynqvb">
    <w:name w:val="rynqvb"/>
    <w:basedOn w:val="Policepardfaut"/>
    <w:rsid w:val="000E1C4E"/>
  </w:style>
  <w:style w:type="paragraph" w:styleId="Notedebasdepage">
    <w:name w:val="footnote text"/>
    <w:basedOn w:val="Normal"/>
    <w:link w:val="NotedebasdepageCar"/>
    <w:semiHidden/>
    <w:unhideWhenUsed/>
    <w:rsid w:val="008D3A64"/>
    <w:pPr>
      <w:spacing w:after="0" w:line="240" w:lineRule="auto"/>
      <w:jc w:val="right"/>
    </w:pPr>
    <w:rPr>
      <w:sz w:val="20"/>
      <w:szCs w:val="20"/>
      <w:lang w:val="en-US"/>
    </w:rPr>
  </w:style>
  <w:style w:type="character" w:customStyle="1" w:styleId="NotedebasdepageCar">
    <w:name w:val="Note de bas de page Car"/>
    <w:basedOn w:val="Policepardfaut"/>
    <w:link w:val="Notedebasdepage"/>
    <w:semiHidden/>
    <w:rsid w:val="008D3A64"/>
    <w:rPr>
      <w:sz w:val="20"/>
      <w:szCs w:val="20"/>
      <w:lang w:val="en-US"/>
    </w:rPr>
  </w:style>
  <w:style w:type="paragraph" w:styleId="Notedefin">
    <w:name w:val="endnote text"/>
    <w:basedOn w:val="Normal"/>
    <w:link w:val="NotedefinCar"/>
    <w:uiPriority w:val="99"/>
    <w:semiHidden/>
    <w:unhideWhenUsed/>
    <w:rsid w:val="008D3A64"/>
    <w:pPr>
      <w:bidi/>
      <w:spacing w:after="0" w:line="240" w:lineRule="auto"/>
    </w:pPr>
    <w:rPr>
      <w:rFonts w:ascii="Times New Roman" w:eastAsia="Times New Roman" w:hAnsi="Times New Roman" w:cs="Times New Roman"/>
      <w:sz w:val="20"/>
      <w:szCs w:val="20"/>
      <w:lang w:val="en-US"/>
    </w:rPr>
  </w:style>
  <w:style w:type="character" w:customStyle="1" w:styleId="NotedefinCar">
    <w:name w:val="Note de fin Car"/>
    <w:basedOn w:val="Policepardfaut"/>
    <w:link w:val="Notedefin"/>
    <w:uiPriority w:val="99"/>
    <w:semiHidden/>
    <w:rsid w:val="008D3A64"/>
    <w:rPr>
      <w:rFonts w:ascii="Times New Roman" w:eastAsia="Times New Roman" w:hAnsi="Times New Roman" w:cs="Times New Roman"/>
      <w:sz w:val="20"/>
      <w:szCs w:val="20"/>
      <w:lang w:val="en-US"/>
    </w:rPr>
  </w:style>
  <w:style w:type="paragraph" w:styleId="Paragraphedeliste">
    <w:name w:val="List Paragraph"/>
    <w:basedOn w:val="Normal"/>
    <w:uiPriority w:val="34"/>
    <w:qFormat/>
    <w:rsid w:val="008D3A64"/>
    <w:pPr>
      <w:spacing w:after="160" w:line="256" w:lineRule="auto"/>
      <w:ind w:left="720"/>
      <w:contextualSpacing/>
      <w:jc w:val="right"/>
    </w:pPr>
    <w:rPr>
      <w:rFonts w:ascii="Times New Roman" w:hAnsi="Times New Roman" w:cs="Simplified Arabic"/>
      <w:sz w:val="28"/>
      <w:szCs w:val="28"/>
      <w:lang w:val="en-US"/>
    </w:rPr>
  </w:style>
  <w:style w:type="character" w:styleId="Appelnotedebasdep">
    <w:name w:val="footnote reference"/>
    <w:basedOn w:val="Policepardfaut"/>
    <w:semiHidden/>
    <w:unhideWhenUsed/>
    <w:rsid w:val="008D3A64"/>
    <w:rPr>
      <w:vertAlign w:val="superscript"/>
    </w:rPr>
  </w:style>
  <w:style w:type="paragraph" w:styleId="En-tte">
    <w:name w:val="header"/>
    <w:basedOn w:val="Normal"/>
    <w:link w:val="En-tteCar"/>
    <w:uiPriority w:val="99"/>
    <w:semiHidden/>
    <w:unhideWhenUsed/>
    <w:rsid w:val="008D3A64"/>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8D3A64"/>
  </w:style>
  <w:style w:type="paragraph" w:styleId="Pieddepage">
    <w:name w:val="footer"/>
    <w:basedOn w:val="Normal"/>
    <w:link w:val="PieddepageCar"/>
    <w:uiPriority w:val="99"/>
    <w:unhideWhenUsed/>
    <w:rsid w:val="008D3A6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D3A64"/>
  </w:style>
</w:styles>
</file>

<file path=word/webSettings.xml><?xml version="1.0" encoding="utf-8"?>
<w:webSettings xmlns:r="http://schemas.openxmlformats.org/officeDocument/2006/relationships" xmlns:w="http://schemas.openxmlformats.org/wordprocessingml/2006/main">
  <w:divs>
    <w:div w:id="293559010">
      <w:bodyDiv w:val="1"/>
      <w:marLeft w:val="0"/>
      <w:marRight w:val="0"/>
      <w:marTop w:val="0"/>
      <w:marBottom w:val="0"/>
      <w:divBdr>
        <w:top w:val="none" w:sz="0" w:space="0" w:color="auto"/>
        <w:left w:val="none" w:sz="0" w:space="0" w:color="auto"/>
        <w:bottom w:val="none" w:sz="0" w:space="0" w:color="auto"/>
        <w:right w:val="none" w:sz="0" w:space="0" w:color="auto"/>
      </w:divBdr>
    </w:div>
    <w:div w:id="1323661590">
      <w:bodyDiv w:val="1"/>
      <w:marLeft w:val="0"/>
      <w:marRight w:val="0"/>
      <w:marTop w:val="0"/>
      <w:marBottom w:val="0"/>
      <w:divBdr>
        <w:top w:val="none" w:sz="0" w:space="0" w:color="auto"/>
        <w:left w:val="none" w:sz="0" w:space="0" w:color="auto"/>
        <w:bottom w:val="none" w:sz="0" w:space="0" w:color="auto"/>
        <w:right w:val="none" w:sz="0" w:space="0" w:color="auto"/>
      </w:divBdr>
      <w:divsChild>
        <w:div w:id="1480608726">
          <w:marLeft w:val="0"/>
          <w:marRight w:val="0"/>
          <w:marTop w:val="0"/>
          <w:marBottom w:val="0"/>
          <w:divBdr>
            <w:top w:val="none" w:sz="0" w:space="0" w:color="auto"/>
            <w:left w:val="none" w:sz="0" w:space="0" w:color="auto"/>
            <w:bottom w:val="none" w:sz="0" w:space="0" w:color="auto"/>
            <w:right w:val="none" w:sz="0" w:space="0" w:color="auto"/>
          </w:divBdr>
          <w:divsChild>
            <w:div w:id="1847550795">
              <w:marLeft w:val="0"/>
              <w:marRight w:val="0"/>
              <w:marTop w:val="0"/>
              <w:marBottom w:val="0"/>
              <w:divBdr>
                <w:top w:val="none" w:sz="0" w:space="0" w:color="auto"/>
                <w:left w:val="none" w:sz="0" w:space="0" w:color="auto"/>
                <w:bottom w:val="none" w:sz="0" w:space="0" w:color="auto"/>
                <w:right w:val="none" w:sz="0" w:space="0" w:color="auto"/>
              </w:divBdr>
            </w:div>
          </w:divsChild>
        </w:div>
        <w:div w:id="247353963">
          <w:marLeft w:val="0"/>
          <w:marRight w:val="0"/>
          <w:marTop w:val="0"/>
          <w:marBottom w:val="0"/>
          <w:divBdr>
            <w:top w:val="none" w:sz="0" w:space="0" w:color="auto"/>
            <w:left w:val="none" w:sz="0" w:space="0" w:color="auto"/>
            <w:bottom w:val="none" w:sz="0" w:space="0" w:color="auto"/>
            <w:right w:val="none" w:sz="0" w:space="0" w:color="auto"/>
          </w:divBdr>
          <w:divsChild>
            <w:div w:id="414284072">
              <w:marLeft w:val="0"/>
              <w:marRight w:val="0"/>
              <w:marTop w:val="0"/>
              <w:marBottom w:val="0"/>
              <w:divBdr>
                <w:top w:val="none" w:sz="0" w:space="0" w:color="auto"/>
                <w:left w:val="none" w:sz="0" w:space="0" w:color="auto"/>
                <w:bottom w:val="none" w:sz="0" w:space="0" w:color="auto"/>
                <w:right w:val="none" w:sz="0" w:space="0" w:color="auto"/>
              </w:divBdr>
              <w:divsChild>
                <w:div w:id="51083340">
                  <w:marLeft w:val="0"/>
                  <w:marRight w:val="0"/>
                  <w:marTop w:val="0"/>
                  <w:marBottom w:val="0"/>
                  <w:divBdr>
                    <w:top w:val="none" w:sz="0" w:space="0" w:color="auto"/>
                    <w:left w:val="none" w:sz="0" w:space="0" w:color="auto"/>
                    <w:bottom w:val="none" w:sz="0" w:space="0" w:color="auto"/>
                    <w:right w:val="none" w:sz="0" w:space="0" w:color="auto"/>
                  </w:divBdr>
                  <w:divsChild>
                    <w:div w:id="1887448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9641797">
          <w:marLeft w:val="0"/>
          <w:marRight w:val="0"/>
          <w:marTop w:val="0"/>
          <w:marBottom w:val="0"/>
          <w:divBdr>
            <w:top w:val="none" w:sz="0" w:space="0" w:color="auto"/>
            <w:left w:val="none" w:sz="0" w:space="0" w:color="auto"/>
            <w:bottom w:val="none" w:sz="0" w:space="0" w:color="auto"/>
            <w:right w:val="none" w:sz="0" w:space="0" w:color="auto"/>
          </w:divBdr>
          <w:divsChild>
            <w:div w:id="1945530318">
              <w:marLeft w:val="0"/>
              <w:marRight w:val="0"/>
              <w:marTop w:val="0"/>
              <w:marBottom w:val="0"/>
              <w:divBdr>
                <w:top w:val="none" w:sz="0" w:space="0" w:color="auto"/>
                <w:left w:val="none" w:sz="0" w:space="0" w:color="auto"/>
                <w:bottom w:val="none" w:sz="0" w:space="0" w:color="auto"/>
                <w:right w:val="none" w:sz="0" w:space="0" w:color="auto"/>
              </w:divBdr>
            </w:div>
            <w:div w:id="1722438823">
              <w:marLeft w:val="0"/>
              <w:marRight w:val="0"/>
              <w:marTop w:val="0"/>
              <w:marBottom w:val="0"/>
              <w:divBdr>
                <w:top w:val="none" w:sz="0" w:space="0" w:color="auto"/>
                <w:left w:val="none" w:sz="0" w:space="0" w:color="auto"/>
                <w:bottom w:val="none" w:sz="0" w:space="0" w:color="auto"/>
                <w:right w:val="none" w:sz="0" w:space="0" w:color="auto"/>
              </w:divBdr>
            </w:div>
          </w:divsChild>
        </w:div>
        <w:div w:id="529883467">
          <w:marLeft w:val="0"/>
          <w:marRight w:val="0"/>
          <w:marTop w:val="0"/>
          <w:marBottom w:val="0"/>
          <w:divBdr>
            <w:top w:val="none" w:sz="0" w:space="0" w:color="auto"/>
            <w:left w:val="none" w:sz="0" w:space="0" w:color="auto"/>
            <w:bottom w:val="none" w:sz="0" w:space="0" w:color="auto"/>
            <w:right w:val="none" w:sz="0" w:space="0" w:color="auto"/>
          </w:divBdr>
        </w:div>
        <w:div w:id="2096392742">
          <w:marLeft w:val="0"/>
          <w:marRight w:val="0"/>
          <w:marTop w:val="0"/>
          <w:marBottom w:val="0"/>
          <w:divBdr>
            <w:top w:val="none" w:sz="0" w:space="0" w:color="auto"/>
            <w:left w:val="none" w:sz="0" w:space="0" w:color="auto"/>
            <w:bottom w:val="none" w:sz="0" w:space="0" w:color="auto"/>
            <w:right w:val="none" w:sz="0" w:space="0" w:color="auto"/>
          </w:divBdr>
          <w:divsChild>
            <w:div w:id="498353600">
              <w:marLeft w:val="0"/>
              <w:marRight w:val="0"/>
              <w:marTop w:val="0"/>
              <w:marBottom w:val="0"/>
              <w:divBdr>
                <w:top w:val="none" w:sz="0" w:space="0" w:color="auto"/>
                <w:left w:val="none" w:sz="0" w:space="0" w:color="auto"/>
                <w:bottom w:val="none" w:sz="0" w:space="0" w:color="auto"/>
                <w:right w:val="none" w:sz="0" w:space="0" w:color="auto"/>
              </w:divBdr>
              <w:divsChild>
                <w:div w:id="253249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5801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65</TotalTime>
  <Pages>1</Pages>
  <Words>1699</Words>
  <Characters>9349</Characters>
  <Application>Microsoft Office Word</Application>
  <DocSecurity>0</DocSecurity>
  <Lines>77</Lines>
  <Paragraphs>22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11026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user</cp:lastModifiedBy>
  <cp:revision>18</cp:revision>
  <dcterms:created xsi:type="dcterms:W3CDTF">2023-04-26T08:33:00Z</dcterms:created>
  <dcterms:modified xsi:type="dcterms:W3CDTF">2023-04-30T08:04:00Z</dcterms:modified>
</cp:coreProperties>
</file>