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bidi/>
        <w:spacing w:line="278" w:lineRule="auto" w:before="80"/>
        <w:ind w:left="3381" w:right="2914" w:firstLine="8"/>
        <w:jc w:val="center"/>
        <w:rPr>
          <w:b/>
          <w:bCs/>
          <w:sz w:val="28"/>
          <w:szCs w:val="28"/>
        </w:rPr>
      </w:pPr>
      <w:r>
        <w:rPr>
          <w:rFonts w:ascii="Arial" w:hAnsi="Arial" w:cs="Arial"/>
          <w:b/>
          <w:bCs/>
          <w:sz w:val="28"/>
          <w:szCs w:val="28"/>
        </w:rPr>
        <w:t>ا</w:t>
      </w:r>
      <w:r>
        <w:rPr>
          <w:rFonts w:ascii="Arial" w:hAnsi="Arial" w:cs="Arial"/>
          <w:b/>
          <w:bCs/>
          <w:spacing w:val="-2"/>
          <w:w w:val="51"/>
          <w:sz w:val="28"/>
          <w:szCs w:val="28"/>
        </w:rPr>
        <w:t>ل</w:t>
      </w:r>
      <w:r>
        <w:rPr>
          <w:rFonts w:ascii="Arial" w:hAnsi="Arial" w:cs="Arial"/>
          <w:b/>
          <w:bCs/>
          <w:spacing w:val="1"/>
          <w:w w:val="100"/>
          <w:sz w:val="28"/>
          <w:szCs w:val="28"/>
        </w:rPr>
        <w:t>ج</w:t>
      </w:r>
      <w:r>
        <w:rPr>
          <w:rFonts w:ascii="Arial" w:hAnsi="Arial" w:cs="Arial"/>
          <w:b/>
          <w:bCs/>
          <w:spacing w:val="-1"/>
          <w:w w:val="100"/>
          <w:sz w:val="28"/>
          <w:szCs w:val="28"/>
        </w:rPr>
        <w:t>م</w:t>
      </w:r>
      <w:r>
        <w:rPr>
          <w:rFonts w:ascii="Arial" w:hAnsi="Arial" w:cs="Arial"/>
          <w:b/>
          <w:bCs/>
          <w:spacing w:val="1"/>
          <w:w w:val="131"/>
          <w:sz w:val="28"/>
          <w:szCs w:val="28"/>
        </w:rPr>
        <w:t>ه</w:t>
      </w:r>
      <w:r>
        <w:rPr>
          <w:rFonts w:ascii="Arial" w:hAnsi="Arial" w:cs="Arial"/>
          <w:b/>
          <w:bCs/>
          <w:spacing w:val="1"/>
          <w:sz w:val="28"/>
          <w:szCs w:val="28"/>
        </w:rPr>
        <w:t>و</w:t>
      </w:r>
      <w:r>
        <w:rPr>
          <w:rFonts w:ascii="Arial" w:hAnsi="Arial" w:cs="Arial"/>
          <w:b/>
          <w:bCs/>
          <w:spacing w:val="-2"/>
          <w:w w:val="78"/>
          <w:sz w:val="28"/>
          <w:szCs w:val="28"/>
        </w:rPr>
        <w:t>ر</w:t>
      </w:r>
      <w:r>
        <w:rPr>
          <w:rFonts w:ascii="Arial" w:hAnsi="Arial" w:cs="Arial"/>
          <w:b/>
          <w:bCs/>
          <w:spacing w:val="-1"/>
          <w:w w:val="78"/>
          <w:sz w:val="28"/>
          <w:szCs w:val="28"/>
        </w:rPr>
        <w:t>ية</w:t>
      </w:r>
      <w:r>
        <w:rPr>
          <w:rFonts w:ascii="Arial" w:hAnsi="Arial" w:cs="Arial"/>
          <w:b/>
          <w:bCs/>
          <w:spacing w:val="-3"/>
          <w:sz w:val="28"/>
          <w:szCs w:val="28"/>
        </w:rPr>
        <w:t> </w:t>
      </w:r>
      <w:r>
        <w:rPr>
          <w:rFonts w:ascii="Arial" w:hAnsi="Arial" w:cs="Arial"/>
          <w:b/>
          <w:bCs/>
          <w:sz w:val="28"/>
          <w:szCs w:val="28"/>
        </w:rPr>
        <w:t>ا</w:t>
      </w:r>
      <w:r>
        <w:rPr>
          <w:rFonts w:ascii="Arial" w:hAnsi="Arial" w:cs="Arial"/>
          <w:b/>
          <w:bCs/>
          <w:spacing w:val="-2"/>
          <w:w w:val="51"/>
          <w:sz w:val="28"/>
          <w:szCs w:val="28"/>
        </w:rPr>
        <w:t>ل</w:t>
      </w:r>
      <w:r>
        <w:rPr>
          <w:rFonts w:ascii="Arial" w:hAnsi="Arial" w:cs="Arial"/>
          <w:b/>
          <w:bCs/>
          <w:spacing w:val="1"/>
          <w:w w:val="90"/>
          <w:sz w:val="28"/>
          <w:szCs w:val="28"/>
        </w:rPr>
        <w:t>ج</w:t>
      </w:r>
      <w:r>
        <w:rPr>
          <w:rFonts w:ascii="Arial" w:hAnsi="Arial" w:cs="Arial"/>
          <w:b/>
          <w:bCs/>
          <w:spacing w:val="-3"/>
          <w:w w:val="71"/>
          <w:sz w:val="28"/>
          <w:szCs w:val="28"/>
        </w:rPr>
        <w:t>ز</w:t>
      </w:r>
      <w:r>
        <w:rPr>
          <w:rFonts w:ascii="Arial" w:hAnsi="Arial" w:cs="Arial"/>
          <w:b/>
          <w:bCs/>
          <w:spacing w:val="-1"/>
          <w:w w:val="71"/>
          <w:sz w:val="28"/>
          <w:szCs w:val="28"/>
        </w:rPr>
        <w:t>ائ</w:t>
      </w:r>
      <w:r>
        <w:rPr>
          <w:rFonts w:ascii="Arial" w:hAnsi="Arial" w:cs="Arial"/>
          <w:b/>
          <w:bCs/>
          <w:spacing w:val="-2"/>
          <w:w w:val="78"/>
          <w:sz w:val="28"/>
          <w:szCs w:val="28"/>
        </w:rPr>
        <w:t>ر</w:t>
      </w:r>
      <w:r>
        <w:rPr>
          <w:rFonts w:ascii="Arial" w:hAnsi="Arial" w:cs="Arial"/>
          <w:b/>
          <w:bCs/>
          <w:spacing w:val="-1"/>
          <w:w w:val="78"/>
          <w:sz w:val="28"/>
          <w:szCs w:val="28"/>
        </w:rPr>
        <w:t>ية</w:t>
      </w:r>
      <w:r>
        <w:rPr>
          <w:rFonts w:ascii="Arial" w:hAnsi="Arial" w:cs="Arial"/>
          <w:b/>
          <w:bCs/>
          <w:spacing w:val="-3"/>
          <w:sz w:val="28"/>
          <w:szCs w:val="28"/>
        </w:rPr>
        <w:t> </w:t>
      </w:r>
      <w:r>
        <w:rPr>
          <w:rFonts w:ascii="Arial" w:hAnsi="Arial" w:cs="Arial"/>
          <w:b/>
          <w:bCs/>
          <w:sz w:val="28"/>
          <w:szCs w:val="28"/>
        </w:rPr>
        <w:t>ا</w:t>
      </w:r>
      <w:r>
        <w:rPr>
          <w:rFonts w:ascii="Arial" w:hAnsi="Arial" w:cs="Arial"/>
          <w:b/>
          <w:bCs/>
          <w:spacing w:val="-2"/>
          <w:w w:val="70"/>
          <w:sz w:val="28"/>
          <w:szCs w:val="28"/>
        </w:rPr>
        <w:t>ل</w:t>
      </w:r>
      <w:r>
        <w:rPr>
          <w:rFonts w:ascii="Arial" w:hAnsi="Arial" w:cs="Arial"/>
          <w:b/>
          <w:bCs/>
          <w:spacing w:val="-1"/>
          <w:w w:val="70"/>
          <w:sz w:val="28"/>
          <w:szCs w:val="28"/>
        </w:rPr>
        <w:t>ديم</w:t>
      </w:r>
      <w:r>
        <w:rPr>
          <w:rFonts w:ascii="Arial" w:hAnsi="Arial" w:cs="Arial"/>
          <w:b/>
          <w:bCs/>
          <w:spacing w:val="1"/>
          <w:sz w:val="28"/>
          <w:szCs w:val="28"/>
        </w:rPr>
        <w:t>و</w:t>
      </w:r>
      <w:r>
        <w:rPr>
          <w:rFonts w:ascii="Arial" w:hAnsi="Arial" w:cs="Arial"/>
          <w:b/>
          <w:bCs/>
          <w:spacing w:val="-2"/>
          <w:w w:val="49"/>
          <w:sz w:val="28"/>
          <w:szCs w:val="28"/>
        </w:rPr>
        <w:t>ق</w:t>
      </w:r>
      <w:r>
        <w:rPr>
          <w:rFonts w:ascii="Arial" w:hAnsi="Arial" w:cs="Arial"/>
          <w:b/>
          <w:bCs/>
          <w:spacing w:val="-2"/>
          <w:sz w:val="28"/>
          <w:szCs w:val="28"/>
        </w:rPr>
        <w:t>ر</w:t>
      </w:r>
      <w:r>
        <w:rPr>
          <w:rFonts w:ascii="Arial" w:hAnsi="Arial" w:cs="Arial"/>
          <w:b/>
          <w:bCs/>
          <w:sz w:val="28"/>
          <w:szCs w:val="28"/>
        </w:rPr>
        <w:t>ا</w:t>
      </w:r>
      <w:r>
        <w:rPr>
          <w:rFonts w:ascii="Arial" w:hAnsi="Arial" w:cs="Arial"/>
          <w:b/>
          <w:bCs/>
          <w:spacing w:val="1"/>
          <w:w w:val="80"/>
          <w:sz w:val="28"/>
          <w:szCs w:val="28"/>
        </w:rPr>
        <w:t>ط</w:t>
      </w:r>
      <w:r>
        <w:rPr>
          <w:rFonts w:ascii="Arial" w:hAnsi="Arial" w:cs="Arial"/>
          <w:b/>
          <w:bCs/>
          <w:spacing w:val="-1"/>
          <w:w w:val="80"/>
          <w:sz w:val="28"/>
          <w:szCs w:val="28"/>
        </w:rPr>
        <w:t>ية</w:t>
      </w:r>
      <w:r>
        <w:rPr>
          <w:rFonts w:ascii="Arial" w:hAnsi="Arial" w:cs="Arial"/>
          <w:b/>
          <w:bCs/>
          <w:spacing w:val="-3"/>
          <w:sz w:val="28"/>
          <w:szCs w:val="28"/>
        </w:rPr>
        <w:t> </w:t>
      </w:r>
      <w:r>
        <w:rPr>
          <w:rFonts w:ascii="Arial" w:hAnsi="Arial" w:cs="Arial"/>
          <w:b/>
          <w:bCs/>
          <w:sz w:val="28"/>
          <w:szCs w:val="28"/>
        </w:rPr>
        <w:t>ا</w:t>
      </w:r>
      <w:r>
        <w:rPr>
          <w:rFonts w:ascii="Arial" w:hAnsi="Arial" w:cs="Arial"/>
          <w:b/>
          <w:bCs/>
          <w:spacing w:val="-2"/>
          <w:w w:val="51"/>
          <w:sz w:val="28"/>
          <w:szCs w:val="28"/>
        </w:rPr>
        <w:t>ل</w:t>
      </w:r>
      <w:r>
        <w:rPr>
          <w:rFonts w:ascii="Arial" w:hAnsi="Arial" w:cs="Arial"/>
          <w:b/>
          <w:bCs/>
          <w:w w:val="62"/>
          <w:sz w:val="28"/>
          <w:szCs w:val="28"/>
        </w:rPr>
        <w:t>ش</w:t>
      </w:r>
      <w:r>
        <w:rPr>
          <w:rFonts w:ascii="Arial" w:hAnsi="Arial" w:cs="Arial"/>
          <w:b/>
          <w:bCs/>
          <w:spacing w:val="-1"/>
          <w:w w:val="62"/>
          <w:sz w:val="28"/>
          <w:szCs w:val="28"/>
        </w:rPr>
        <w:t>عبية</w:t>
      </w:r>
      <w:r>
        <w:rPr>
          <w:rFonts w:ascii="Arial" w:hAnsi="Arial" w:cs="Arial"/>
          <w:b/>
          <w:bCs/>
          <w:sz w:val="28"/>
          <w:szCs w:val="28"/>
        </w:rPr>
        <w:t> </w:t>
      </w:r>
      <w:r>
        <w:rPr>
          <w:sz w:val="24"/>
          <w:szCs w:val="24"/>
        </w:rPr>
        <w:t>Populaire</w:t>
      </w:r>
      <w:r>
        <w:rPr>
          <w:spacing w:val="-20"/>
          <w:sz w:val="24"/>
          <w:szCs w:val="24"/>
        </w:rPr>
        <w:t> </w:t>
      </w:r>
      <w:r>
        <w:rPr>
          <w:sz w:val="24"/>
          <w:szCs w:val="24"/>
        </w:rPr>
        <w:t>et</w:t>
      </w:r>
      <w:r>
        <w:rPr>
          <w:sz w:val="24"/>
          <w:szCs w:val="24"/>
        </w:rPr>
        <w:t> </w:t>
      </w:r>
      <w:r>
        <w:rPr>
          <w:sz w:val="24"/>
          <w:szCs w:val="24"/>
        </w:rPr>
        <w:t>Démocratique</w:t>
      </w:r>
      <w:r>
        <w:rPr>
          <w:sz w:val="24"/>
          <w:szCs w:val="24"/>
        </w:rPr>
        <w:t> </w:t>
      </w:r>
      <w:r>
        <w:rPr>
          <w:sz w:val="24"/>
          <w:szCs w:val="24"/>
        </w:rPr>
        <w:t>Algérienne</w:t>
      </w:r>
      <w:r>
        <w:rPr>
          <w:sz w:val="24"/>
          <w:szCs w:val="24"/>
        </w:rPr>
        <w:t> </w:t>
      </w:r>
      <w:r>
        <w:rPr>
          <w:sz w:val="24"/>
          <w:szCs w:val="24"/>
        </w:rPr>
        <w:t>République</w:t>
      </w:r>
      <w:r>
        <w:rPr>
          <w:sz w:val="24"/>
          <w:szCs w:val="24"/>
        </w:rPr>
        <w:t> </w:t>
      </w:r>
      <w:r>
        <w:rPr>
          <w:b/>
          <w:bCs/>
          <w:sz w:val="28"/>
          <w:szCs w:val="28"/>
        </w:rPr>
        <w:t>و</w:t>
      </w:r>
      <w:r>
        <w:rPr>
          <w:b/>
          <w:bCs/>
          <w:spacing w:val="-2"/>
          <w:sz w:val="28"/>
          <w:szCs w:val="28"/>
        </w:rPr>
        <w:t>ز</w:t>
      </w:r>
      <w:r>
        <w:rPr>
          <w:b/>
          <w:bCs/>
          <w:sz w:val="28"/>
          <w:szCs w:val="28"/>
        </w:rPr>
        <w:t>ا</w:t>
      </w:r>
      <w:r>
        <w:rPr>
          <w:b/>
          <w:bCs/>
          <w:spacing w:val="-2"/>
          <w:sz w:val="28"/>
          <w:szCs w:val="28"/>
        </w:rPr>
        <w:t>ر</w:t>
      </w:r>
      <w:r>
        <w:rPr>
          <w:b/>
          <w:bCs/>
          <w:sz w:val="28"/>
          <w:szCs w:val="28"/>
        </w:rPr>
        <w:t>ة ا</w:t>
      </w:r>
      <w:r>
        <w:rPr>
          <w:b/>
          <w:bCs/>
          <w:spacing w:val="-3"/>
          <w:w w:val="52"/>
          <w:sz w:val="28"/>
          <w:szCs w:val="28"/>
        </w:rPr>
        <w:t>ل</w:t>
      </w:r>
      <w:r>
        <w:rPr>
          <w:b/>
          <w:bCs/>
          <w:spacing w:val="-1"/>
          <w:w w:val="52"/>
          <w:sz w:val="28"/>
          <w:szCs w:val="28"/>
        </w:rPr>
        <w:t>تع</w:t>
      </w:r>
      <w:r>
        <w:rPr>
          <w:b/>
          <w:bCs/>
          <w:spacing w:val="-3"/>
          <w:w w:val="59"/>
          <w:sz w:val="28"/>
          <w:szCs w:val="28"/>
        </w:rPr>
        <w:t>ل</w:t>
      </w:r>
      <w:r>
        <w:rPr>
          <w:b/>
          <w:bCs/>
          <w:spacing w:val="-1"/>
          <w:w w:val="59"/>
          <w:sz w:val="28"/>
          <w:szCs w:val="28"/>
        </w:rPr>
        <w:t>يم</w:t>
      </w:r>
      <w:r>
        <w:rPr>
          <w:b/>
          <w:bCs/>
          <w:sz w:val="28"/>
          <w:szCs w:val="28"/>
        </w:rPr>
        <w:t> ا</w:t>
      </w:r>
      <w:r>
        <w:rPr>
          <w:b/>
          <w:bCs/>
          <w:spacing w:val="-3"/>
          <w:w w:val="59"/>
          <w:sz w:val="28"/>
          <w:szCs w:val="28"/>
        </w:rPr>
        <w:t>ل</w:t>
      </w:r>
      <w:r>
        <w:rPr>
          <w:b/>
          <w:bCs/>
          <w:spacing w:val="-1"/>
          <w:w w:val="59"/>
          <w:sz w:val="28"/>
          <w:szCs w:val="28"/>
        </w:rPr>
        <w:t>ع</w:t>
      </w:r>
      <w:r>
        <w:rPr>
          <w:b/>
          <w:bCs/>
          <w:spacing w:val="-2"/>
          <w:w w:val="108"/>
          <w:sz w:val="28"/>
          <w:szCs w:val="28"/>
        </w:rPr>
        <w:t>ا</w:t>
      </w:r>
      <w:r>
        <w:rPr>
          <w:b/>
          <w:bCs/>
          <w:spacing w:val="-2"/>
          <w:w w:val="51"/>
          <w:sz w:val="28"/>
          <w:szCs w:val="28"/>
        </w:rPr>
        <w:t>ل</w:t>
      </w:r>
      <w:r>
        <w:rPr>
          <w:b/>
          <w:bCs/>
          <w:spacing w:val="-2"/>
          <w:w w:val="89"/>
          <w:sz w:val="28"/>
          <w:szCs w:val="28"/>
        </w:rPr>
        <w:t>ي</w:t>
      </w:r>
      <w:r>
        <w:rPr>
          <w:b/>
          <w:bCs/>
          <w:spacing w:val="2"/>
          <w:sz w:val="28"/>
          <w:szCs w:val="28"/>
        </w:rPr>
        <w:t> </w:t>
      </w:r>
      <w:r>
        <w:rPr>
          <w:b/>
          <w:bCs/>
          <w:sz w:val="28"/>
          <w:szCs w:val="28"/>
        </w:rPr>
        <w:t>وا</w:t>
      </w:r>
      <w:r>
        <w:rPr>
          <w:b/>
          <w:bCs/>
          <w:spacing w:val="-2"/>
          <w:w w:val="45"/>
          <w:sz w:val="28"/>
          <w:szCs w:val="28"/>
        </w:rPr>
        <w:t>ل</w:t>
      </w:r>
      <w:r>
        <w:rPr>
          <w:b/>
          <w:bCs/>
          <w:spacing w:val="-1"/>
          <w:w w:val="45"/>
          <w:sz w:val="28"/>
          <w:szCs w:val="28"/>
        </w:rPr>
        <w:t>ب</w:t>
      </w:r>
      <w:r>
        <w:rPr>
          <w:b/>
          <w:bCs/>
          <w:spacing w:val="1"/>
          <w:w w:val="90"/>
          <w:sz w:val="28"/>
          <w:szCs w:val="28"/>
        </w:rPr>
        <w:t>ح</w:t>
      </w:r>
      <w:r>
        <w:rPr>
          <w:b/>
          <w:bCs/>
          <w:spacing w:val="-2"/>
          <w:sz w:val="28"/>
          <w:szCs w:val="28"/>
        </w:rPr>
        <w:t>ث</w:t>
      </w:r>
      <w:r>
        <w:rPr>
          <w:b/>
          <w:bCs/>
          <w:sz w:val="28"/>
          <w:szCs w:val="28"/>
        </w:rPr>
        <w:t> ا</w:t>
      </w:r>
      <w:r>
        <w:rPr>
          <w:b/>
          <w:bCs/>
          <w:spacing w:val="-3"/>
          <w:w w:val="59"/>
          <w:sz w:val="28"/>
          <w:szCs w:val="28"/>
        </w:rPr>
        <w:t>ل</w:t>
      </w:r>
      <w:r>
        <w:rPr>
          <w:b/>
          <w:bCs/>
          <w:spacing w:val="-1"/>
          <w:w w:val="59"/>
          <w:sz w:val="28"/>
          <w:szCs w:val="28"/>
        </w:rPr>
        <w:t>ع</w:t>
      </w:r>
      <w:r>
        <w:rPr>
          <w:b/>
          <w:bCs/>
          <w:spacing w:val="-2"/>
          <w:w w:val="80"/>
          <w:sz w:val="28"/>
          <w:szCs w:val="28"/>
        </w:rPr>
        <w:t>ل</w:t>
      </w:r>
      <w:r>
        <w:rPr>
          <w:b/>
          <w:bCs/>
          <w:spacing w:val="-1"/>
          <w:w w:val="80"/>
          <w:sz w:val="28"/>
          <w:szCs w:val="28"/>
        </w:rPr>
        <w:t>م</w:t>
      </w:r>
      <w:r>
        <w:rPr>
          <w:b/>
          <w:bCs/>
          <w:spacing w:val="-2"/>
          <w:w w:val="89"/>
          <w:sz w:val="28"/>
          <w:szCs w:val="28"/>
        </w:rPr>
        <w:t>ي</w:t>
      </w:r>
    </w:p>
    <w:p>
      <w:pPr>
        <w:pStyle w:val="BodyText"/>
        <w:spacing w:line="271" w:lineRule="exact"/>
        <w:ind w:left="751" w:right="1212"/>
        <w:jc w:val="center"/>
      </w:pPr>
      <w:r>
        <w:rPr/>
        <w:t>Ministère de l’Enseignement Supérieur et de la Recherche Scientifique</w:t>
      </w:r>
    </w:p>
    <w:p>
      <w:pPr>
        <w:bidi/>
        <w:spacing w:before="42"/>
        <w:ind w:left="1223" w:right="751" w:firstLine="0"/>
        <w:jc w:val="center"/>
        <w:rPr>
          <w:b/>
          <w:bCs/>
          <w:sz w:val="28"/>
          <w:szCs w:val="28"/>
        </w:rPr>
      </w:pPr>
      <w:r>
        <w:rPr>
          <w:w w:val="94"/>
          <w:sz w:val="24"/>
          <w:szCs w:val="24"/>
        </w:rPr>
        <w:t>ج</w:t>
      </w:r>
      <w:r>
        <w:rPr>
          <w:w w:val="110"/>
          <w:sz w:val="24"/>
          <w:szCs w:val="24"/>
        </w:rPr>
        <w:t>ا</w:t>
      </w:r>
      <w:r>
        <w:rPr>
          <w:spacing w:val="1"/>
          <w:w w:val="116"/>
          <w:sz w:val="24"/>
          <w:szCs w:val="24"/>
        </w:rPr>
        <w:t>م</w:t>
      </w:r>
      <w:r>
        <w:rPr>
          <w:spacing w:val="1"/>
          <w:w w:val="72"/>
          <w:sz w:val="24"/>
          <w:szCs w:val="24"/>
        </w:rPr>
        <w:t>ع</w:t>
      </w:r>
      <w:r>
        <w:rPr>
          <w:spacing w:val="1"/>
          <w:w w:val="132"/>
          <w:sz w:val="24"/>
          <w:szCs w:val="24"/>
        </w:rPr>
        <w:t>ة</w:t>
      </w:r>
      <w:r>
        <w:rPr>
          <w:b/>
          <w:bCs/>
          <w:spacing w:val="-9"/>
          <w:sz w:val="24"/>
          <w:szCs w:val="24"/>
        </w:rPr>
        <w:t> </w:t>
      </w:r>
      <w:r>
        <w:rPr>
          <w:b/>
          <w:bCs/>
          <w:sz w:val="24"/>
          <w:szCs w:val="24"/>
        </w:rPr>
        <w:t>8</w:t>
      </w:r>
      <w:r>
        <w:rPr>
          <w:b/>
          <w:bCs/>
          <w:spacing w:val="4"/>
          <w:sz w:val="24"/>
          <w:szCs w:val="24"/>
        </w:rPr>
        <w:t> </w:t>
      </w:r>
      <w:r>
        <w:rPr>
          <w:b/>
          <w:bCs/>
          <w:w w:val="112"/>
          <w:sz w:val="24"/>
          <w:szCs w:val="24"/>
        </w:rPr>
        <w:t>م</w:t>
      </w:r>
      <w:r>
        <w:rPr>
          <w:b/>
          <w:bCs/>
          <w:spacing w:val="-1"/>
          <w:w w:val="112"/>
          <w:sz w:val="24"/>
          <w:szCs w:val="24"/>
        </w:rPr>
        <w:t>ا</w:t>
      </w:r>
      <w:r>
        <w:rPr>
          <w:b/>
          <w:bCs/>
          <w:spacing w:val="1"/>
          <w:sz w:val="24"/>
          <w:szCs w:val="24"/>
        </w:rPr>
        <w:t>ي</w:t>
      </w:r>
      <w:r>
        <w:rPr>
          <w:b/>
          <w:bCs/>
          <w:spacing w:val="-18"/>
          <w:sz w:val="28"/>
          <w:szCs w:val="28"/>
        </w:rPr>
        <w:t> </w:t>
      </w:r>
      <w:r>
        <w:rPr>
          <w:b/>
          <w:bCs/>
          <w:sz w:val="28"/>
          <w:szCs w:val="28"/>
        </w:rPr>
        <w:t>1945</w:t>
      </w:r>
      <w:r>
        <w:rPr>
          <w:b/>
          <w:bCs/>
          <w:spacing w:val="6"/>
          <w:sz w:val="28"/>
          <w:szCs w:val="28"/>
        </w:rPr>
        <w:t> </w:t>
      </w:r>
      <w:r>
        <w:rPr>
          <w:b/>
          <w:bCs/>
          <w:sz w:val="28"/>
          <w:szCs w:val="28"/>
        </w:rPr>
        <w:t> </w:t>
      </w:r>
      <w:r>
        <w:rPr>
          <w:b/>
          <w:bCs/>
          <w:w w:val="49"/>
          <w:sz w:val="28"/>
          <w:szCs w:val="28"/>
        </w:rPr>
        <w:t>ق</w:t>
      </w:r>
      <w:r>
        <w:rPr>
          <w:b/>
          <w:bCs/>
          <w:spacing w:val="-2"/>
          <w:w w:val="108"/>
          <w:sz w:val="28"/>
          <w:szCs w:val="28"/>
        </w:rPr>
        <w:t>ا</w:t>
      </w:r>
      <w:r>
        <w:rPr>
          <w:b/>
          <w:bCs/>
          <w:spacing w:val="-2"/>
          <w:w w:val="72"/>
          <w:sz w:val="28"/>
          <w:szCs w:val="28"/>
        </w:rPr>
        <w:t>ل</w:t>
      </w:r>
      <w:r>
        <w:rPr>
          <w:b/>
          <w:bCs/>
          <w:spacing w:val="-1"/>
          <w:w w:val="72"/>
          <w:sz w:val="28"/>
          <w:szCs w:val="28"/>
        </w:rPr>
        <w:t>م</w:t>
      </w:r>
      <w:r>
        <w:rPr>
          <w:b/>
          <w:bCs/>
          <w:spacing w:val="-1"/>
          <w:w w:val="72"/>
          <w:sz w:val="28"/>
          <w:szCs w:val="28"/>
        </w:rPr>
        <w:t>ت</w:t>
      </w:r>
    </w:p>
    <w:p>
      <w:pPr>
        <w:pStyle w:val="BodyText"/>
        <w:spacing w:before="47"/>
        <w:ind w:left="751" w:right="1218"/>
        <w:jc w:val="center"/>
      </w:pPr>
      <w:r>
        <w:rPr/>
        <w:t>Université 8 Mai 1945 Guelma</w:t>
      </w:r>
    </w:p>
    <w:p>
      <w:pPr>
        <w:pStyle w:val="BodyText"/>
        <w:spacing w:before="41"/>
        <w:ind w:left="1398"/>
      </w:pPr>
      <w:r>
        <w:rPr/>
        <w:t>Faculté des Sciences de la Nature et de la Vie, Sciences de la terre et de l’Univers</w:t>
      </w:r>
    </w:p>
    <w:p>
      <w:pPr>
        <w:pStyle w:val="BodyText"/>
        <w:spacing w:before="5"/>
        <w:rPr>
          <w:sz w:val="15"/>
        </w:rPr>
      </w:pPr>
      <w:r>
        <w:rPr/>
        <w:drawing>
          <wp:anchor distT="0" distB="0" distL="0" distR="0" allowOverlap="1" layoutInCell="1" locked="0" behindDoc="0" simplePos="0" relativeHeight="0">
            <wp:simplePos x="0" y="0"/>
            <wp:positionH relativeFrom="page">
              <wp:posOffset>3149133</wp:posOffset>
            </wp:positionH>
            <wp:positionV relativeFrom="paragraph">
              <wp:posOffset>137850</wp:posOffset>
            </wp:positionV>
            <wp:extent cx="1457271" cy="1296924"/>
            <wp:effectExtent l="0" t="0" r="0" b="0"/>
            <wp:wrapTopAndBottom/>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457271" cy="1296924"/>
                    </a:xfrm>
                    <a:prstGeom prst="rect">
                      <a:avLst/>
                    </a:prstGeom>
                  </pic:spPr>
                </pic:pic>
              </a:graphicData>
            </a:graphic>
          </wp:anchor>
        </w:drawing>
      </w:r>
    </w:p>
    <w:p>
      <w:pPr>
        <w:spacing w:line="360" w:lineRule="auto" w:before="0"/>
        <w:ind w:left="751" w:right="1216" w:firstLine="0"/>
        <w:jc w:val="center"/>
        <w:rPr>
          <w:b/>
          <w:sz w:val="40"/>
        </w:rPr>
      </w:pPr>
      <w:r>
        <w:rPr>
          <w:b/>
          <w:sz w:val="40"/>
        </w:rPr>
        <w:t>Mémoire En Vue de l’Obtention du Diplôme de Master</w:t>
      </w:r>
    </w:p>
    <w:p>
      <w:pPr>
        <w:pStyle w:val="Heading4"/>
        <w:spacing w:line="273" w:lineRule="auto" w:before="1"/>
        <w:ind w:right="5339"/>
      </w:pPr>
      <w:r>
        <w:rPr/>
        <w:t>Domaine : </w:t>
      </w:r>
      <w:r>
        <w:rPr>
          <w:color w:val="0D0D0D"/>
        </w:rPr>
        <w:t>Sciences de la Nature et de la Vie </w:t>
      </w:r>
      <w:r>
        <w:rPr/>
        <w:t>Filière : Sciences Biologiques</w:t>
      </w:r>
    </w:p>
    <w:p>
      <w:pPr>
        <w:spacing w:line="273" w:lineRule="auto" w:before="6"/>
        <w:ind w:left="675" w:right="2863" w:firstLine="0"/>
        <w:jc w:val="left"/>
        <w:rPr>
          <w:b/>
          <w:sz w:val="24"/>
        </w:rPr>
      </w:pPr>
      <w:r>
        <w:rPr>
          <w:b/>
          <w:sz w:val="24"/>
        </w:rPr>
        <w:t>Spécialité/Option: </w:t>
      </w:r>
      <w:r>
        <w:rPr>
          <w:b/>
          <w:color w:val="0D0D0D"/>
          <w:sz w:val="24"/>
        </w:rPr>
        <w:t>Qualité des produits et sécurité alimentaire </w:t>
      </w:r>
      <w:r>
        <w:rPr>
          <w:b/>
          <w:sz w:val="24"/>
        </w:rPr>
        <w:t>Département: Biologie</w:t>
      </w:r>
    </w:p>
    <w:p>
      <w:pPr>
        <w:pStyle w:val="BodyText"/>
        <w:spacing w:before="7"/>
        <w:rPr>
          <w:b/>
          <w:sz w:val="18"/>
        </w:rPr>
      </w:pPr>
      <w:r>
        <w:rPr/>
        <w:pict>
          <v:group style="position:absolute;margin-left:65.425003pt;margin-top:12.664804pt;width:472.15pt;height:1.2pt;mso-position-horizontal-relative:page;mso-position-vertical-relative:paragraph;z-index:-1000;mso-wrap-distance-left:0;mso-wrap-distance-right:0" coordorigin="1309,253" coordsize="9443,24">
            <v:line style="position:absolute" from="1309,257" to="10752,257" stroked="true" strokeweight=".39999pt" strokecolor="#000000">
              <v:stroke dashstyle="solid"/>
            </v:line>
            <v:line style="position:absolute" from="1309,273" to="10752,273" stroked="true" strokeweight=".40002pt" strokecolor="#000000">
              <v:stroke dashstyle="solid"/>
            </v:line>
            <w10:wrap type="topAndBottom"/>
          </v:group>
        </w:pict>
      </w:r>
    </w:p>
    <w:p>
      <w:pPr>
        <w:spacing w:line="439" w:lineRule="exact" w:before="0"/>
        <w:ind w:left="749" w:right="1338" w:firstLine="0"/>
        <w:jc w:val="center"/>
        <w:rPr>
          <w:b/>
          <w:sz w:val="40"/>
        </w:rPr>
      </w:pPr>
      <w:r>
        <w:rPr>
          <w:b/>
          <w:sz w:val="40"/>
        </w:rPr>
        <w:t>Thème</w:t>
      </w:r>
    </w:p>
    <w:p>
      <w:pPr>
        <w:pStyle w:val="BodyText"/>
        <w:spacing w:before="7"/>
        <w:rPr>
          <w:b/>
          <w:sz w:val="37"/>
        </w:rPr>
      </w:pPr>
    </w:p>
    <w:p>
      <w:pPr>
        <w:spacing w:line="360" w:lineRule="auto" w:before="0"/>
        <w:ind w:left="751" w:right="1338" w:firstLine="0"/>
        <w:jc w:val="center"/>
        <w:rPr>
          <w:b/>
          <w:sz w:val="36"/>
        </w:rPr>
      </w:pPr>
      <w:r>
        <w:rPr>
          <w:b/>
          <w:sz w:val="36"/>
        </w:rPr>
        <w:t>Contribution à l’étude physico-chimique et bactériologique des eaux de quelques sources de la wilaya de Guelma</w:t>
      </w:r>
    </w:p>
    <w:p>
      <w:pPr>
        <w:pStyle w:val="BodyText"/>
        <w:spacing w:before="2"/>
        <w:rPr>
          <w:b/>
          <w:sz w:val="14"/>
        </w:rPr>
      </w:pPr>
      <w:r>
        <w:rPr/>
        <w:pict>
          <v:group style="position:absolute;margin-left:64.824997pt;margin-top:10.11415pt;width:472.75pt;height:1.25pt;mso-position-horizontal-relative:page;mso-position-vertical-relative:paragraph;z-index:-976;mso-wrap-distance-left:0;mso-wrap-distance-right:0" coordorigin="1296,202" coordsize="9455,25">
            <v:line style="position:absolute" from="1296,222" to="10751,222" stroked="true" strokeweight=".40002pt" strokecolor="#000000">
              <v:stroke dashstyle="solid"/>
            </v:line>
            <v:line style="position:absolute" from="1296,206" to="10751,206" stroked="true" strokeweight=".39996pt" strokecolor="#000000">
              <v:stroke dashstyle="solid"/>
            </v:line>
            <w10:wrap type="topAndBottom"/>
          </v:group>
        </w:pict>
      </w:r>
    </w:p>
    <w:p>
      <w:pPr>
        <w:pStyle w:val="BodyText"/>
        <w:rPr>
          <w:b/>
          <w:sz w:val="20"/>
        </w:rPr>
      </w:pPr>
    </w:p>
    <w:p>
      <w:pPr>
        <w:pStyle w:val="BodyText"/>
        <w:spacing w:before="6"/>
        <w:rPr>
          <w:b/>
          <w:sz w:val="14"/>
        </w:rPr>
      </w:pPr>
    </w:p>
    <w:tbl>
      <w:tblPr>
        <w:tblW w:w="0" w:type="auto"/>
        <w:jc w:val="left"/>
        <w:tblInd w:w="6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19"/>
        <w:gridCol w:w="1983"/>
        <w:gridCol w:w="2700"/>
      </w:tblGrid>
      <w:tr>
        <w:trPr>
          <w:trHeight w:val="390" w:hRule="atLeast"/>
        </w:trPr>
        <w:tc>
          <w:tcPr>
            <w:tcW w:w="3319" w:type="dxa"/>
          </w:tcPr>
          <w:p>
            <w:pPr>
              <w:pStyle w:val="TableParagraph"/>
              <w:spacing w:line="266" w:lineRule="exact"/>
              <w:ind w:left="50"/>
              <w:rPr>
                <w:b/>
                <w:sz w:val="24"/>
              </w:rPr>
            </w:pPr>
            <w:r>
              <w:rPr>
                <w:b/>
                <w:sz w:val="24"/>
              </w:rPr>
              <w:t>Présenté par :</w:t>
            </w:r>
          </w:p>
        </w:tc>
        <w:tc>
          <w:tcPr>
            <w:tcW w:w="4683" w:type="dxa"/>
            <w:gridSpan w:val="2"/>
            <w:vMerge w:val="restart"/>
          </w:tcPr>
          <w:p>
            <w:pPr>
              <w:pStyle w:val="TableParagraph"/>
              <w:ind w:left="0"/>
              <w:rPr>
                <w:sz w:val="26"/>
              </w:rPr>
            </w:pPr>
          </w:p>
        </w:tc>
      </w:tr>
      <w:tr>
        <w:trPr>
          <w:trHeight w:val="515" w:hRule="atLeast"/>
        </w:trPr>
        <w:tc>
          <w:tcPr>
            <w:tcW w:w="3319" w:type="dxa"/>
          </w:tcPr>
          <w:p>
            <w:pPr>
              <w:pStyle w:val="TableParagraph"/>
              <w:spacing w:before="114"/>
              <w:ind w:left="50"/>
              <w:rPr>
                <w:b/>
                <w:sz w:val="24"/>
              </w:rPr>
            </w:pPr>
            <w:r>
              <w:rPr>
                <w:b/>
                <w:sz w:val="24"/>
              </w:rPr>
              <w:t>-Bentafar Imane</w:t>
            </w:r>
          </w:p>
        </w:tc>
        <w:tc>
          <w:tcPr>
            <w:tcW w:w="4683" w:type="dxa"/>
            <w:gridSpan w:val="2"/>
            <w:vMerge/>
            <w:tcBorders>
              <w:top w:val="nil"/>
            </w:tcBorders>
          </w:tcPr>
          <w:p>
            <w:pPr>
              <w:rPr>
                <w:sz w:val="2"/>
                <w:szCs w:val="2"/>
              </w:rPr>
            </w:pPr>
          </w:p>
        </w:tc>
      </w:tr>
      <w:tr>
        <w:trPr>
          <w:trHeight w:val="733" w:hRule="atLeast"/>
        </w:trPr>
        <w:tc>
          <w:tcPr>
            <w:tcW w:w="3319" w:type="dxa"/>
          </w:tcPr>
          <w:p>
            <w:pPr>
              <w:pStyle w:val="TableParagraph"/>
              <w:spacing w:before="114"/>
              <w:ind w:left="50"/>
              <w:rPr>
                <w:b/>
                <w:sz w:val="24"/>
              </w:rPr>
            </w:pPr>
            <w:r>
              <w:rPr>
                <w:b/>
                <w:sz w:val="24"/>
              </w:rPr>
              <w:t>-Djebairia Yamina</w:t>
            </w:r>
          </w:p>
        </w:tc>
        <w:tc>
          <w:tcPr>
            <w:tcW w:w="4683" w:type="dxa"/>
            <w:gridSpan w:val="2"/>
            <w:vMerge/>
            <w:tcBorders>
              <w:top w:val="nil"/>
            </w:tcBorders>
          </w:tcPr>
          <w:p>
            <w:pPr>
              <w:rPr>
                <w:sz w:val="2"/>
                <w:szCs w:val="2"/>
              </w:rPr>
            </w:pPr>
          </w:p>
        </w:tc>
      </w:tr>
      <w:tr>
        <w:trPr>
          <w:trHeight w:val="715" w:hRule="atLeast"/>
        </w:trPr>
        <w:tc>
          <w:tcPr>
            <w:tcW w:w="3319" w:type="dxa"/>
          </w:tcPr>
          <w:p>
            <w:pPr>
              <w:pStyle w:val="TableParagraph"/>
              <w:spacing w:before="10"/>
              <w:ind w:left="0"/>
              <w:rPr>
                <w:b/>
                <w:sz w:val="28"/>
              </w:rPr>
            </w:pPr>
          </w:p>
          <w:p>
            <w:pPr>
              <w:pStyle w:val="TableParagraph"/>
              <w:spacing w:before="1"/>
              <w:ind w:left="50"/>
              <w:rPr>
                <w:b/>
                <w:sz w:val="24"/>
              </w:rPr>
            </w:pPr>
            <w:r>
              <w:rPr>
                <w:b/>
                <w:sz w:val="24"/>
              </w:rPr>
              <w:t>Devant le jury composé de :</w:t>
            </w:r>
          </w:p>
        </w:tc>
        <w:tc>
          <w:tcPr>
            <w:tcW w:w="4683" w:type="dxa"/>
            <w:gridSpan w:val="2"/>
            <w:vMerge/>
            <w:tcBorders>
              <w:top w:val="nil"/>
            </w:tcBorders>
          </w:tcPr>
          <w:p>
            <w:pPr>
              <w:rPr>
                <w:sz w:val="2"/>
                <w:szCs w:val="2"/>
              </w:rPr>
            </w:pPr>
          </w:p>
        </w:tc>
      </w:tr>
      <w:tr>
        <w:trPr>
          <w:trHeight w:val="443" w:hRule="atLeast"/>
        </w:trPr>
        <w:tc>
          <w:tcPr>
            <w:tcW w:w="3319" w:type="dxa"/>
          </w:tcPr>
          <w:p>
            <w:pPr>
              <w:pStyle w:val="TableParagraph"/>
              <w:spacing w:before="96"/>
              <w:ind w:left="50"/>
              <w:rPr>
                <w:b/>
                <w:sz w:val="24"/>
              </w:rPr>
            </w:pPr>
            <w:r>
              <w:rPr>
                <w:b/>
                <w:sz w:val="24"/>
              </w:rPr>
              <w:t>Président: Bousbia Aissam</w:t>
            </w:r>
          </w:p>
        </w:tc>
        <w:tc>
          <w:tcPr>
            <w:tcW w:w="1983" w:type="dxa"/>
          </w:tcPr>
          <w:p>
            <w:pPr>
              <w:pStyle w:val="TableParagraph"/>
              <w:spacing w:before="96"/>
              <w:ind w:left="134" w:right="388"/>
              <w:jc w:val="center"/>
              <w:rPr>
                <w:b/>
                <w:sz w:val="24"/>
              </w:rPr>
            </w:pPr>
            <w:r>
              <w:rPr>
                <w:b/>
                <w:sz w:val="24"/>
              </w:rPr>
              <w:t>M.C.B.</w:t>
            </w:r>
          </w:p>
        </w:tc>
        <w:tc>
          <w:tcPr>
            <w:tcW w:w="2700" w:type="dxa"/>
          </w:tcPr>
          <w:p>
            <w:pPr>
              <w:pStyle w:val="TableParagraph"/>
              <w:spacing w:before="96"/>
              <w:ind w:left="0" w:right="68"/>
              <w:jc w:val="right"/>
              <w:rPr>
                <w:b/>
                <w:sz w:val="24"/>
              </w:rPr>
            </w:pPr>
            <w:r>
              <w:rPr>
                <w:b/>
                <w:sz w:val="24"/>
              </w:rPr>
              <w:t>Université de Guelma</w:t>
            </w:r>
          </w:p>
        </w:tc>
      </w:tr>
      <w:tr>
        <w:trPr>
          <w:trHeight w:val="413" w:hRule="atLeast"/>
        </w:trPr>
        <w:tc>
          <w:tcPr>
            <w:tcW w:w="3319" w:type="dxa"/>
          </w:tcPr>
          <w:p>
            <w:pPr>
              <w:pStyle w:val="TableParagraph"/>
              <w:spacing w:before="60"/>
              <w:ind w:left="50"/>
              <w:rPr>
                <w:b/>
                <w:sz w:val="24"/>
              </w:rPr>
            </w:pPr>
            <w:r>
              <w:rPr>
                <w:b/>
                <w:sz w:val="24"/>
              </w:rPr>
              <w:t>Examinateur : Nouar Tahar</w:t>
            </w:r>
          </w:p>
        </w:tc>
        <w:tc>
          <w:tcPr>
            <w:tcW w:w="1983" w:type="dxa"/>
          </w:tcPr>
          <w:p>
            <w:pPr>
              <w:pStyle w:val="TableParagraph"/>
              <w:spacing w:before="60"/>
              <w:ind w:left="202" w:right="388"/>
              <w:jc w:val="center"/>
              <w:rPr>
                <w:b/>
                <w:sz w:val="24"/>
              </w:rPr>
            </w:pPr>
            <w:r>
              <w:rPr>
                <w:b/>
                <w:sz w:val="24"/>
              </w:rPr>
              <w:t>M</w:t>
            </w:r>
            <w:r>
              <w:rPr>
                <w:sz w:val="24"/>
              </w:rPr>
              <w:t>.C</w:t>
            </w:r>
            <w:r>
              <w:rPr>
                <w:b/>
                <w:sz w:val="24"/>
              </w:rPr>
              <w:t>.A.</w:t>
            </w:r>
          </w:p>
        </w:tc>
        <w:tc>
          <w:tcPr>
            <w:tcW w:w="2700" w:type="dxa"/>
          </w:tcPr>
          <w:p>
            <w:pPr>
              <w:pStyle w:val="TableParagraph"/>
              <w:spacing w:before="60"/>
              <w:ind w:left="0" w:right="68"/>
              <w:jc w:val="right"/>
              <w:rPr>
                <w:b/>
                <w:sz w:val="24"/>
              </w:rPr>
            </w:pPr>
            <w:r>
              <w:rPr>
                <w:b/>
                <w:sz w:val="24"/>
              </w:rPr>
              <w:t>Université de Guelma</w:t>
            </w:r>
          </w:p>
        </w:tc>
      </w:tr>
      <w:tr>
        <w:trPr>
          <w:trHeight w:val="416" w:hRule="atLeast"/>
        </w:trPr>
        <w:tc>
          <w:tcPr>
            <w:tcW w:w="3319" w:type="dxa"/>
          </w:tcPr>
          <w:p>
            <w:pPr>
              <w:pStyle w:val="TableParagraph"/>
              <w:spacing w:before="66"/>
              <w:ind w:left="50"/>
              <w:rPr>
                <w:b/>
                <w:sz w:val="24"/>
              </w:rPr>
            </w:pPr>
            <w:r>
              <w:rPr>
                <w:b/>
                <w:sz w:val="24"/>
              </w:rPr>
              <w:t>Encadreur : Aissaoui Ryadh</w:t>
            </w:r>
          </w:p>
        </w:tc>
        <w:tc>
          <w:tcPr>
            <w:tcW w:w="1983" w:type="dxa"/>
          </w:tcPr>
          <w:p>
            <w:pPr>
              <w:pStyle w:val="TableParagraph"/>
              <w:spacing w:before="66"/>
              <w:ind w:left="206" w:right="388"/>
              <w:jc w:val="center"/>
              <w:rPr>
                <w:b/>
                <w:sz w:val="24"/>
              </w:rPr>
            </w:pPr>
            <w:r>
              <w:rPr>
                <w:b/>
                <w:sz w:val="24"/>
              </w:rPr>
              <w:t>M.C.B.</w:t>
            </w:r>
          </w:p>
        </w:tc>
        <w:tc>
          <w:tcPr>
            <w:tcW w:w="2700" w:type="dxa"/>
          </w:tcPr>
          <w:p>
            <w:pPr>
              <w:pStyle w:val="TableParagraph"/>
              <w:spacing w:before="66"/>
              <w:ind w:left="0" w:right="48"/>
              <w:jc w:val="right"/>
              <w:rPr>
                <w:b/>
                <w:sz w:val="24"/>
              </w:rPr>
            </w:pPr>
            <w:r>
              <w:rPr>
                <w:b/>
                <w:sz w:val="24"/>
              </w:rPr>
              <w:t>Université de Guelma</w:t>
            </w:r>
          </w:p>
        </w:tc>
      </w:tr>
      <w:tr>
        <w:trPr>
          <w:trHeight w:val="427" w:hRule="atLeast"/>
        </w:trPr>
        <w:tc>
          <w:tcPr>
            <w:tcW w:w="3319" w:type="dxa"/>
          </w:tcPr>
          <w:p>
            <w:pPr>
              <w:pStyle w:val="TableParagraph"/>
              <w:ind w:left="0"/>
              <w:rPr>
                <w:sz w:val="26"/>
              </w:rPr>
            </w:pPr>
          </w:p>
        </w:tc>
        <w:tc>
          <w:tcPr>
            <w:tcW w:w="1983" w:type="dxa"/>
          </w:tcPr>
          <w:p>
            <w:pPr>
              <w:pStyle w:val="TableParagraph"/>
              <w:spacing w:line="348" w:lineRule="exact" w:before="59"/>
              <w:ind w:left="230" w:right="388"/>
              <w:jc w:val="center"/>
              <w:rPr>
                <w:b/>
                <w:sz w:val="32"/>
              </w:rPr>
            </w:pPr>
            <w:r>
              <w:rPr>
                <w:b/>
                <w:sz w:val="32"/>
              </w:rPr>
              <w:t>Juin 2016</w:t>
            </w:r>
          </w:p>
        </w:tc>
        <w:tc>
          <w:tcPr>
            <w:tcW w:w="2700" w:type="dxa"/>
          </w:tcPr>
          <w:p>
            <w:pPr>
              <w:pStyle w:val="TableParagraph"/>
              <w:ind w:left="0"/>
              <w:rPr>
                <w:sz w:val="26"/>
              </w:rPr>
            </w:pPr>
          </w:p>
        </w:tc>
      </w:tr>
    </w:tbl>
    <w:p>
      <w:pPr>
        <w:spacing w:after="0"/>
        <w:rPr>
          <w:sz w:val="26"/>
        </w:rPr>
        <w:sectPr>
          <w:type w:val="continuous"/>
          <w:pgSz w:w="11900" w:h="16840"/>
          <w:pgMar w:top="1060" w:bottom="280" w:left="740" w:right="0"/>
          <w:pgBorders w:offsetFrom="page">
            <w:top w:val="thinThickThinSmallGap" w:color="000000" w:space="25" w:sz="12"/>
            <w:left w:val="thinThickThinSmallGap" w:color="000000" w:space="25" w:sz="12"/>
            <w:bottom w:val="thinThickThinSmallGap" w:color="000000" w:space="25" w:sz="12"/>
            <w:right w:val="thinThickThinSmallGap" w:color="000000" w:space="25" w:sz="12"/>
          </w:pgBorders>
        </w:sectPr>
      </w:pPr>
    </w:p>
    <w:p>
      <w:pPr>
        <w:pStyle w:val="BodyText"/>
        <w:ind w:left="3136"/>
        <w:rPr>
          <w:sz w:val="20"/>
        </w:rPr>
      </w:pPr>
      <w:r>
        <w:rPr>
          <w:sz w:val="20"/>
        </w:rPr>
        <w:pict>
          <v:group style="width:204.4pt;height:68.05pt;mso-position-horizontal-relative:char;mso-position-vertical-relative:line" coordorigin="0,0" coordsize="4088,1361">
            <v:shape style="position:absolute;left:67;top:393;width:285;height:968" coordorigin="67,393" coordsize="285,968" path="m230,403l196,404,155,408,65,418,65,1370,192,1356,192,927,210,925,341,925,340,921,335,907,329,893,321,879,310,867,296,858,279,850,298,842,314,830,326,816,335,797,339,779,192,779,192,567,207,565,346,565,344,542,338,502,329,471,318,447,306,429,292,416,277,408,257,404,230,403xm341,925l210,925,221,930,225,941,227,954,229,974,230,1001,231,1035,231,1352,349,1339,349,1035,348,995,347,965,346,947,344,934,341,925xm346,565l207,565,217,569,223,578,226,586,229,599,230,616,231,636,231,698,230,716,229,738,226,754,222,763,217,772,206,777,192,779,339,779,341,773,345,740,348,698,349,647,348,590,346,565xe" filled="true" fillcolor="#9999ff" stroked="false">
              <v:path arrowok="t"/>
              <v:fill opacity="52428f" type="solid"/>
            </v:shape>
            <v:shape style="position:absolute;left:393;top:514;width:281;height:810" coordorigin="394,514" coordsize="281,810" path="m551,524l526,525,505,529,486,537,468,549,452,564,437,583,424,606,413,631,405,660,399,693,394,731,392,774,391,813,391,1069,391,1092,392,1127,394,1157,397,1182,401,1204,406,1225,413,1245,420,1263,429,1280,440,1295,452,1308,466,1318,481,1326,498,1331,516,1333,534,1332,553,1329,571,1323,587,1314,601,1303,613,1289,625,1273,635,1254,644,1232,652,1210,656,1195,524,1195,520,1191,517,1181,515,1171,514,1157,513,1137,513,1120,513,944,671,927,671,817,513,817,513,730,514,706,515,690,516,679,518,669,523,663,532,662,539,662,660,662,658,648,650,619,639,594,626,572,611,553,593,538,573,529,551,524xm671,978l555,990,555,1099,555,1120,554,1142,553,1159,551,1172,547,1186,541,1193,532,1195,524,1195,656,1195,658,1188,663,1167,666,1147,668,1125,670,1099,671,1069,671,1051,671,978xm660,662l539,662,543,667,545,679,547,690,548,707,548,723,548,731,549,813,537,815,525,816,513,817,671,817,670,770,668,723,663,682,660,662xe" filled="true" fillcolor="#9999ff" stroked="false">
              <v:path arrowok="t"/>
              <v:fill opacity="52428f" type="solid"/>
            </v:shape>
            <v:shape style="position:absolute;left:713;top:455;width:436;height:834" coordorigin="714,456" coordsize="436,834" path="m831,505l711,518,711,1299,829,1286,830,694,830,682,830,659,832,649,836,640,840,632,845,628,859,626,993,626,994,619,999,611,1008,610,1016,609,1144,609,1143,583,1142,580,829,580,831,505xm993,626l859,626,864,633,866,648,867,665,868,694,869,734,869,1282,987,1268,988,734,988,710,988,678,990,652,991,635,993,626xm1144,609l1016,609,1022,616,1024,632,1026,648,1027,674,1027,710,1027,734,1028,1264,1146,1251,1146,671,1146,652,1145,614,1144,609xm908,483l896,485,884,491,873,499,863,510,854,523,845,540,837,558,829,580,1142,580,1141,563,985,563,970,526,952,500,931,486,908,483xm1063,466l1051,468,1040,474,1029,482,1020,493,1010,506,1001,522,993,541,985,563,1141,563,1140,558,1136,538,1131,520,1123,504,1114,489,1103,478,1091,470,1078,466,1063,466xe" filled="true" fillcolor="#9999ff" stroked="false">
              <v:path arrowok="t"/>
              <v:fill opacity="52428f" type="solid"/>
            </v:shape>
            <v:shape style="position:absolute;left:1187;top:426;width:281;height:810" coordorigin="1188,427" coordsize="281,810" path="m1344,437l1319,437,1299,441,1280,449,1262,461,1245,477,1230,496,1217,518,1207,544,1198,572,1192,605,1188,644,1185,687,1184,726,1184,982,1185,1004,1186,1040,1188,1070,1191,1095,1194,1117,1200,1138,1206,1157,1214,1176,1223,1193,1233,1208,1246,1220,1260,1231,1275,1239,1291,1244,1309,1246,1328,1245,1347,1241,1364,1235,1380,1227,1394,1215,1407,1202,1418,1185,1429,1166,1438,1145,1446,1122,1450,1108,1318,1108,1313,1103,1310,1093,1309,1084,1307,1069,1307,1050,1306,1032,1306,857,1464,839,1464,730,1306,730,1307,643,1307,619,1308,602,1309,591,1312,581,1317,576,1332,574,1453,574,1451,561,1443,532,1433,507,1420,484,1404,465,1387,451,1366,441,1344,437xm1464,890l1349,903,1349,1012,1348,1032,1348,1054,1346,1072,1344,1084,1341,1098,1335,1106,1318,1108,1450,1108,1452,1100,1457,1079,1460,1059,1462,1038,1463,1012,1464,982,1464,963,1464,890xm1453,574l1332,574,1337,579,1339,591,1340,602,1341,619,1342,635,1342,644,1342,726,1330,727,1318,728,1306,730,1464,730,1464,682,1461,635,1457,595,1453,574xe" filled="true" fillcolor="#9999ff" stroked="false">
              <v:path arrowok="t"/>
              <v:fill opacity="52428f" type="solid"/>
            </v:shape>
            <v:shape style="position:absolute;left:1507;top:385;width:195;height:817" coordorigin="1508,385" coordsize="195,817" path="m1626,417l1504,431,1504,1211,1626,1198,1626,890,1627,838,1627,796,1628,765,1630,744,1633,729,1637,716,1642,704,1649,693,1658,684,1670,678,1683,673,1699,670,1699,521,1622,521,1626,417xm1699,396l1675,408,1654,433,1636,471,1622,521,1699,521,1699,396xe" filled="true" fillcolor="#9999ff" stroked="false">
              <v:path arrowok="t"/>
              <v:fill opacity="52428f" type="solid"/>
            </v:shape>
            <v:shape style="position:absolute;left:1725;top:367;width:274;height:810" coordorigin="1726,368" coordsize="274,810" path="m1881,378l1858,378,1835,383,1813,392,1794,407,1776,426,1761,449,1749,472,1739,496,1733,522,1728,550,1725,585,1723,626,1722,672,1722,894,1723,948,1725,995,1729,1035,1735,1069,1742,1098,1752,1122,1764,1143,1777,1161,1794,1174,1813,1183,1835,1187,1859,1186,1879,1183,1897,1176,1913,1166,1927,1154,1940,1138,1952,1120,1963,1099,1972,1074,1980,1049,1980,1048,1859,1048,1853,1042,1850,1028,1847,1017,1846,1003,1845,986,1844,977,1845,573,1845,556,1846,542,1848,532,1850,522,1855,516,1869,515,1986,515,1985,503,1977,475,1968,450,1955,428,1939,408,1922,393,1902,383,1881,378xm1996,836l1887,848,1887,950,1887,969,1886,992,1884,1010,1883,1024,1880,1039,1874,1046,1859,1048,1980,1048,1986,1025,1990,1000,1992,977,1994,950,1995,918,1995,880,1996,836xm1986,515l1869,515,1874,520,1877,530,1878,541,1879,555,1880,573,1880,585,1880,684,1996,672,1995,620,1993,575,1993,573,1989,535,1986,515xe" filled="true" fillcolor="#9999ff" stroked="false">
              <v:path arrowok="t"/>
              <v:fill opacity="52428f" type="solid"/>
            </v:shape>
            <v:shape style="position:absolute;left:2035;top:177;width:126;height:967" coordorigin="2036,177" coordsize="126,967" path="m2158,187l2032,201,2032,325,2158,311,2158,187xm2158,359l2032,373,2032,1153,2158,1139,2158,359xe" filled="true" fillcolor="#9999ff" stroked="false">
              <v:path arrowok="t"/>
              <v:fill opacity="52428f" type="solid"/>
            </v:shape>
            <v:shape style="position:absolute;left:2202;top:315;width:281;height:810" coordorigin="2202,315" coordsize="281,810" path="m2357,325l2333,326,2312,330,2293,338,2275,349,2259,365,2244,384,2231,406,2220,432,2212,460,2206,494,2201,532,2199,575,2198,614,2198,870,2198,892,2199,928,2201,958,2204,983,2208,1005,2213,1026,2219,1045,2227,1064,2236,1081,2247,1096,2259,1108,2273,1119,2288,1127,2305,1132,2323,1134,2341,1133,2360,1130,2378,1124,2394,1115,2408,1104,2420,1090,2432,1074,2442,1055,2451,1033,2459,1010,2463,996,2331,996,2327,991,2324,982,2322,972,2321,957,2320,938,2320,921,2320,745,2478,728,2478,618,2320,618,2320,529,2321,507,2322,490,2323,479,2325,469,2330,464,2346,462,2467,462,2465,449,2457,420,2446,395,2433,373,2418,354,2400,339,2380,330,2357,325xm2478,778l2362,791,2362,900,2362,921,2361,943,2360,960,2358,973,2354,987,2348,994,2331,996,2463,996,2465,988,2470,968,2473,948,2475,926,2477,900,2478,870,2478,851,2478,778xm2467,462l2346,462,2350,468,2352,479,2354,491,2355,507,2355,523,2355,532,2356,557,2356,614,2344,615,2332,617,2320,618,2478,618,2477,571,2474,523,2470,483,2467,462xe" filled="true" fillcolor="#9999ff" stroked="false">
              <v:path arrowok="t"/>
              <v:fill opacity="52428f" type="solid"/>
            </v:shape>
            <v:shape style="position:absolute;left:2522;top:256;width:436;height:834" coordorigin="2522,256" coordsize="436,834" path="m2638,306l2518,319,2518,1100,2636,1087,2636,511,2636,495,2637,483,2637,466,2637,460,2639,450,2643,441,2647,433,2652,428,2657,428,2666,427,2800,427,2801,420,2806,411,2815,410,2823,410,2951,410,2950,383,2949,381,2636,381,2638,326,2638,306xm2800,427l2666,427,2671,434,2673,449,2674,466,2675,495,2676,535,2676,1082,2794,1069,2794,535,2795,511,2795,479,2796,452,2798,436,2800,427xm2951,410l2823,410,2829,417,2831,432,2833,449,2834,475,2834,511,2834,1065,2953,1052,2953,475,2953,452,2951,415,2951,410xm2715,283l2703,286,2691,292,2680,300,2670,311,2661,324,2652,340,2644,359,2636,381,2949,381,2948,364,2792,364,2777,326,2759,301,2738,286,2715,283xm2870,266l2858,269,2847,274,2836,283,2827,293,2817,307,2808,323,2800,342,2792,364,2948,364,2947,359,2943,339,2938,321,2930,304,2921,290,2910,278,2898,271,2884,267,2870,266xe" filled="true" fillcolor="#9999ff" stroked="false">
              <v:path arrowok="t"/>
              <v:fill opacity="52428f" type="solid"/>
            </v:shape>
            <v:shape style="position:absolute;left:2996;top:227;width:281;height:810" coordorigin="2996,227" coordsize="281,810" path="m3151,238l3126,238,3106,242,3087,250,3069,262,3052,277,3037,297,3024,319,3014,344,3005,373,2999,406,2995,444,2992,488,2991,527,2991,783,2992,805,2993,841,2995,871,2998,896,3001,918,3006,938,3013,958,3021,977,3030,994,3040,1008,3053,1021,3066,1031,3082,1039,3098,1044,3116,1046,3135,1046,3154,1042,3171,1036,3187,1027,3201,1016,3214,1002,3225,986,3236,967,3245,945,3252,923,3257,909,3125,909,3120,904,3117,894,3115,884,3114,870,3114,850,3113,833,3113,658,3271,640,3271,531,3113,531,3114,442,3114,420,3115,403,3116,392,3118,382,3124,377,3139,375,3260,375,3258,362,3250,333,3240,307,3227,285,3211,266,3193,252,3173,242,3151,238xm3271,691l3156,703,3155,812,3155,833,3154,855,3153,872,3151,885,3148,899,3142,907,3125,909,3257,909,3259,901,3264,880,3267,860,3269,838,3270,812,3271,783,3271,764,3271,691xm3260,375l3139,375,3144,380,3146,392,3147,403,3148,420,3149,436,3149,444,3149,469,3149,527,3137,528,3125,529,3113,531,3271,531,3270,483,3268,436,3264,396,3260,375xe" filled="true" fillcolor="#9999ff" stroked="false">
              <v:path arrowok="t"/>
              <v:fill opacity="52428f" type="solid"/>
            </v:shape>
            <v:shape style="position:absolute;left:3316;top:185;width:282;height:817" coordorigin="3316,185" coordsize="282,817" path="m3435,218l3311,232,3311,1012,3433,999,3433,454,3434,431,3434,400,3435,377,3437,362,3439,348,3444,341,3453,340,3461,339,3591,339,3590,314,3587,291,3433,291,3435,218xm3591,339l3461,339,3466,345,3468,356,3469,369,3470,389,3471,418,3471,995,3593,981,3593,418,3593,387,3592,348,3591,345,3591,339xm3510,196l3498,198,3487,204,3476,212,3466,222,3457,236,3448,251,3440,270,3433,291,3587,291,3587,288,3583,268,3578,250,3570,233,3561,219,3551,207,3539,200,3525,196,3510,196xe" filled="true" fillcolor="#9999ff" stroked="false">
              <v:path arrowok="t"/>
              <v:fill opacity="52428f" type="solid"/>
            </v:shape>
            <v:shape style="position:absolute;left:3619;top:67;width:187;height:889" coordorigin="3620,67" coordsize="187,889" path="m3764,338l3641,338,3641,742,3641,787,3642,829,3643,861,3645,881,3647,896,3650,911,3655,924,3661,935,3668,946,3676,954,3684,960,3693,963,3703,965,3717,966,3733,965,3752,964,3802,958,3802,834,3782,834,3771,833,3768,827,3766,819,3765,802,3764,776,3764,742,3764,338xm3802,832l3782,834,3802,834,3802,832xm3764,78l3641,91,3641,214,3632,215,3624,216,3615,217,3615,341,3632,339,3641,338,3764,338,3764,324,3797,321,3797,201,3764,201,3764,78xm3797,197l3764,201,3797,201,3797,197xe" filled="true" fillcolor="#9999ff" stroked="false">
              <v:path arrowok="t"/>
              <v:fill opacity="52428f" type="solid"/>
            </v:shape>
            <v:shape style="position:absolute;left:3819;top:137;width:268;height:810" coordorigin="3820,137" coordsize="268,810" path="m3926,670l3818,682,3818,724,3819,766,3821,805,3825,838,3830,864,3838,886,3848,906,3860,922,3876,936,3893,946,3912,953,3933,956,3955,955,3975,951,3994,944,4011,934,4027,921,4041,905,4052,886,4062,865,4069,841,4074,819,3938,819,3933,813,3930,801,3928,789,3927,772,3926,750,3926,741,3926,724,3926,670xm3960,147l3941,148,3921,152,3903,158,3886,168,3870,180,3856,195,3844,212,3834,231,3827,253,3822,279,3818,311,3815,349,3814,384,3814,397,3815,424,3817,454,3821,481,3826,505,3835,529,3848,553,3868,578,3892,605,3920,633,3941,655,3956,671,3963,680,3966,690,3968,704,3969,724,3969,750,3969,768,3968,783,3966,795,3964,803,3961,812,3955,817,3938,819,4074,819,4075,814,4079,780,4081,741,4082,704,4082,690,4081,657,4078,622,4073,593,4065,568,4055,547,4040,525,4020,503,3996,481,3977,465,3963,451,3951,439,3943,428,3934,416,3929,404,3928,393,3926,384,3926,372,3925,358,3925,341,3925,329,3926,318,3928,308,3930,301,3933,291,3939,287,3945,286,3954,285,4071,285,4071,281,4070,266,4067,252,4064,238,4058,223,4052,208,4043,193,4033,181,4022,170,4009,160,3994,153,3978,149,3960,147xm4071,285l3954,285,3959,289,3961,298,3963,308,3964,323,3964,341,3964,409,4073,397,4073,324,4072,301,4071,285xe" filled="true" fillcolor="#9999ff" stroked="false">
              <v:path arrowok="t"/>
              <v:fill opacity="52428f" type="solid"/>
            </v:shape>
            <v:shape style="position:absolute;left:7;top:333;width:285;height:968" type="#_x0000_t75" stroked="false">
              <v:imagedata r:id="rId6" o:title=""/>
            </v:shape>
            <v:shape style="position:absolute;left:333;top:454;width:281;height:810" type="#_x0000_t75" stroked="false">
              <v:imagedata r:id="rId7" o:title=""/>
            </v:shape>
            <v:shape style="position:absolute;left:653;top:395;width:436;height:834" type="#_x0000_t75" stroked="false">
              <v:imagedata r:id="rId8" o:title=""/>
            </v:shape>
            <v:shape style="position:absolute;left:1127;top:366;width:281;height:810" type="#_x0000_t75" stroked="false">
              <v:imagedata r:id="rId9" o:title=""/>
            </v:shape>
            <v:shape style="position:absolute;left:1447;top:325;width:195;height:817" type="#_x0000_t75" stroked="false">
              <v:imagedata r:id="rId10" o:title=""/>
            </v:shape>
            <v:shape style="position:absolute;left:1665;top:307;width:274;height:810" type="#_x0000_t75" stroked="false">
              <v:imagedata r:id="rId11" o:title=""/>
            </v:shape>
            <v:shape style="position:absolute;left:1975;top:117;width:126;height:967" type="#_x0000_t75" stroked="false">
              <v:imagedata r:id="rId12" o:title=""/>
            </v:shape>
            <v:shape style="position:absolute;left:2142;top:255;width:281;height:810" type="#_x0000_t75" stroked="false">
              <v:imagedata r:id="rId13" o:title=""/>
            </v:shape>
            <v:shape style="position:absolute;left:2462;top:196;width:436;height:834" type="#_x0000_t75" stroked="false">
              <v:imagedata r:id="rId14" o:title=""/>
            </v:shape>
            <v:shape style="position:absolute;left:2936;top:167;width:281;height:810" type="#_x0000_t75" stroked="false">
              <v:imagedata r:id="rId15" o:title=""/>
            </v:shape>
            <v:shape style="position:absolute;left:3256;top:125;width:282;height:817" type="#_x0000_t75" stroked="false">
              <v:imagedata r:id="rId16" o:title=""/>
            </v:shape>
            <v:shape style="position:absolute;left:3559;top:7;width:468;height:889" type="#_x0000_t75" stroked="false">
              <v:imagedata r:id="rId17" o:title=""/>
            </v:shape>
            <v:shape style="position:absolute;left:0;top:0;width:4035;height:1309" type="#_x0000_t75" stroked="false">
              <v:imagedata r:id="rId18" o:title=""/>
            </v:shape>
          </v:group>
        </w:pict>
      </w:r>
      <w:r>
        <w:rPr>
          <w:sz w:val="20"/>
        </w:rPr>
      </w:r>
    </w:p>
    <w:p>
      <w:pPr>
        <w:pStyle w:val="BodyText"/>
        <w:rPr>
          <w:b/>
          <w:sz w:val="20"/>
        </w:rPr>
      </w:pPr>
    </w:p>
    <w:p>
      <w:pPr>
        <w:pStyle w:val="BodyText"/>
        <w:rPr>
          <w:b/>
          <w:sz w:val="20"/>
        </w:rPr>
      </w:pPr>
    </w:p>
    <w:p>
      <w:pPr>
        <w:pStyle w:val="BodyText"/>
        <w:rPr>
          <w:b/>
          <w:sz w:val="20"/>
        </w:rPr>
      </w:pPr>
    </w:p>
    <w:p>
      <w:pPr>
        <w:pStyle w:val="BodyText"/>
        <w:spacing w:before="10"/>
        <w:rPr>
          <w:b/>
          <w:sz w:val="15"/>
        </w:rPr>
      </w:pPr>
    </w:p>
    <w:p>
      <w:pPr>
        <w:spacing w:line="360" w:lineRule="auto" w:before="100"/>
        <w:ind w:left="1059" w:right="1798" w:firstLine="708"/>
        <w:jc w:val="both"/>
        <w:rPr>
          <w:rFonts w:ascii="Lucida Calligraphy" w:hAnsi="Lucida Calligraphy"/>
          <w:i/>
          <w:sz w:val="22"/>
        </w:rPr>
      </w:pPr>
      <w:r>
        <w:rPr>
          <w:rFonts w:ascii="Lucida Calligraphy" w:hAnsi="Lucida Calligraphy"/>
          <w:i/>
          <w:sz w:val="22"/>
        </w:rPr>
        <w:t>Nous tenons à remercier avant tout « Dieu » le tout puissant de nous avoir guidées durant toute cette année en nous donnant la force, la patience et la volonté pour réaliser ce mémoire comme il se doit.</w:t>
      </w:r>
    </w:p>
    <w:p>
      <w:pPr>
        <w:spacing w:line="360" w:lineRule="auto" w:before="200"/>
        <w:ind w:left="1059" w:right="1794" w:firstLine="708"/>
        <w:jc w:val="both"/>
        <w:rPr>
          <w:rFonts w:ascii="Lucida Calligraphy" w:hAnsi="Lucida Calligraphy"/>
          <w:i/>
          <w:sz w:val="22"/>
        </w:rPr>
      </w:pPr>
      <w:r>
        <w:rPr>
          <w:rFonts w:ascii="Lucida Calligraphy" w:hAnsi="Lucida Calligraphy"/>
          <w:i/>
          <w:sz w:val="22"/>
        </w:rPr>
        <w:t>Nous adressons mes sincères remerciements aux membres de jury qui ont accepté d’évaluer ce modeste travail. Nous voudrons remercier </w:t>
      </w:r>
      <w:r>
        <w:rPr>
          <w:rFonts w:ascii="Lucida Calligraphy" w:hAnsi="Lucida Calligraphy"/>
          <w:i/>
          <w:sz w:val="22"/>
          <w:u w:val="single"/>
        </w:rPr>
        <w:t>Bousbia Aissam</w:t>
      </w:r>
      <w:r>
        <w:rPr>
          <w:rFonts w:ascii="Lucida Calligraphy" w:hAnsi="Lucida Calligraphy"/>
          <w:i/>
          <w:sz w:val="22"/>
        </w:rPr>
        <w:t> qui nous a honorées d’avoir accepté de présider le jury. Nous remercions également </w:t>
      </w:r>
      <w:r>
        <w:rPr>
          <w:rFonts w:ascii="Lucida Calligraphy" w:hAnsi="Lucida Calligraphy"/>
          <w:i/>
          <w:sz w:val="22"/>
          <w:u w:val="single"/>
        </w:rPr>
        <w:t>Nouar Tahar</w:t>
      </w:r>
      <w:r>
        <w:rPr>
          <w:rFonts w:ascii="Lucida Calligraphy" w:hAnsi="Lucida Calligraphy"/>
          <w:i/>
          <w:sz w:val="22"/>
        </w:rPr>
        <w:t>. Qui a accepté d’examiner ce travail.</w:t>
      </w:r>
    </w:p>
    <w:p>
      <w:pPr>
        <w:spacing w:line="360" w:lineRule="auto" w:before="196"/>
        <w:ind w:left="1059" w:right="1797" w:firstLine="708"/>
        <w:jc w:val="both"/>
        <w:rPr>
          <w:rFonts w:ascii="Lucida Calligraphy" w:hAnsi="Lucida Calligraphy"/>
          <w:i/>
          <w:sz w:val="22"/>
        </w:rPr>
      </w:pPr>
      <w:r>
        <w:rPr>
          <w:rFonts w:ascii="Lucida Calligraphy" w:hAnsi="Lucida Calligraphy"/>
          <w:i/>
          <w:sz w:val="22"/>
        </w:rPr>
        <w:t>Nous exprimons nos profonds remerciements à notre encadreur, Mr </w:t>
      </w:r>
      <w:r>
        <w:rPr>
          <w:rFonts w:ascii="Lucida Calligraphy" w:hAnsi="Lucida Calligraphy"/>
          <w:i/>
          <w:sz w:val="22"/>
          <w:u w:val="single"/>
        </w:rPr>
        <w:t>AISSOUI Ryadh</w:t>
      </w:r>
      <w:r>
        <w:rPr>
          <w:rFonts w:ascii="Lucida Calligraphy" w:hAnsi="Lucida Calligraphy"/>
          <w:i/>
          <w:sz w:val="22"/>
        </w:rPr>
        <w:t> pour l'aide compétente qu'il nous a apportée, pour sa patience, sa confiance, son encouragement, et Son œil critique qui nous a été très précieux pour structurer le travail et pour améliorer la qualité des différentes sections de notre mémoire, nous le remercions vivement.</w:t>
      </w:r>
    </w:p>
    <w:p>
      <w:pPr>
        <w:spacing w:line="360" w:lineRule="auto" w:before="199"/>
        <w:ind w:left="1059" w:right="1798" w:firstLine="708"/>
        <w:jc w:val="both"/>
        <w:rPr>
          <w:rFonts w:ascii="Lucida Calligraphy" w:hAnsi="Lucida Calligraphy"/>
          <w:i/>
          <w:sz w:val="22"/>
        </w:rPr>
      </w:pPr>
      <w:r>
        <w:rPr>
          <w:rFonts w:ascii="Lucida Calligraphy" w:hAnsi="Lucida Calligraphy"/>
          <w:i/>
          <w:sz w:val="22"/>
        </w:rPr>
        <w:t>Nous adressons aussi nos sincères remerciements à tous les enseignants du département de Biologie et de la Faculté surtout notre sœur Cherifa qui a été toujours disponible pour nous.</w:t>
      </w:r>
    </w:p>
    <w:p>
      <w:pPr>
        <w:spacing w:line="360" w:lineRule="auto" w:before="200"/>
        <w:ind w:left="1059" w:right="1792" w:firstLine="708"/>
        <w:jc w:val="both"/>
        <w:rPr>
          <w:rFonts w:ascii="Lucida Calligraphy" w:hAnsi="Lucida Calligraphy"/>
          <w:i/>
          <w:sz w:val="22"/>
        </w:rPr>
      </w:pPr>
      <w:r>
        <w:rPr>
          <w:rFonts w:ascii="Lucida Calligraphy" w:hAnsi="Lucida Calligraphy"/>
          <w:i/>
          <w:sz w:val="22"/>
        </w:rPr>
        <w:t>Nous tenons particulièrement à remercier le groupe des personnes qui travaillent au niveau de laboratoire ADE (Algérienne des eaux) au niveau de Hammam debagh (Mr Amraoui, Amel, Chahra, Radhia, Walid,</w:t>
      </w:r>
      <w:r>
        <w:rPr>
          <w:rFonts w:ascii="Lucida Calligraphy" w:hAnsi="Lucida Calligraphy"/>
          <w:i/>
          <w:spacing w:val="-1"/>
          <w:sz w:val="22"/>
        </w:rPr>
        <w:t> </w:t>
      </w:r>
      <w:r>
        <w:rPr>
          <w:rFonts w:ascii="Lucida Calligraphy" w:hAnsi="Lucida Calligraphy"/>
          <w:i/>
          <w:sz w:val="22"/>
        </w:rPr>
        <w:t>Mebarka….etc.).</w:t>
      </w:r>
    </w:p>
    <w:p>
      <w:pPr>
        <w:spacing w:after="0" w:line="360" w:lineRule="auto"/>
        <w:jc w:val="both"/>
        <w:rPr>
          <w:rFonts w:ascii="Lucida Calligraphy" w:hAnsi="Lucida Calligraphy"/>
          <w:sz w:val="22"/>
        </w:rPr>
        <w:sectPr>
          <w:pgSz w:w="11900" w:h="16840"/>
          <w:pgMar w:top="1560" w:bottom="280" w:left="740" w:right="0"/>
        </w:sectPr>
      </w:pPr>
    </w:p>
    <w:p>
      <w:pPr>
        <w:spacing w:line="360" w:lineRule="auto" w:before="74"/>
        <w:ind w:left="1059" w:right="1800" w:firstLine="708"/>
        <w:jc w:val="both"/>
        <w:rPr>
          <w:rFonts w:ascii="Lucida Calligraphy"/>
          <w:i/>
          <w:sz w:val="22"/>
        </w:rPr>
      </w:pPr>
      <w:r>
        <w:rPr>
          <w:rFonts w:ascii="Lucida Calligraphy"/>
          <w:i/>
          <w:sz w:val="22"/>
        </w:rPr>
        <w:t>Nous remercions nos familles pour l'amour qu'elles nous portent et pour la patience dont elles ont fait preuve surtout que nous travaillons souvent tard le soir....</w:t>
      </w:r>
    </w:p>
    <w:p>
      <w:pPr>
        <w:spacing w:line="357" w:lineRule="auto" w:before="200"/>
        <w:ind w:left="1059" w:right="1793" w:firstLine="708"/>
        <w:jc w:val="both"/>
        <w:rPr>
          <w:rFonts w:ascii="Lucida Calligraphy" w:hAnsi="Lucida Calligraphy"/>
          <w:i/>
          <w:sz w:val="24"/>
        </w:rPr>
      </w:pPr>
      <w:r>
        <w:rPr>
          <w:rFonts w:ascii="Lucida Calligraphy" w:hAnsi="Lucida Calligraphy"/>
          <w:i/>
          <w:sz w:val="22"/>
        </w:rPr>
        <w:t>D'autres personnes nous ont encouragé à finir ce travail par des gestes d'amitié dont nous sommes reconnaissants, no</w:t>
      </w:r>
      <w:r>
        <w:rPr>
          <w:rFonts w:ascii="Lucida Calligraphy" w:hAnsi="Lucida Calligraphy"/>
          <w:i/>
          <w:sz w:val="24"/>
        </w:rPr>
        <w:t>us nous excusant auprès d’eux de ne pas les citer, nous leur exprimons nos vives reconnaissances.</w:t>
      </w:r>
    </w:p>
    <w:p>
      <w:pPr>
        <w:spacing w:after="0" w:line="357" w:lineRule="auto"/>
        <w:jc w:val="both"/>
        <w:rPr>
          <w:rFonts w:ascii="Lucida Calligraphy" w:hAnsi="Lucida Calligraphy"/>
          <w:sz w:val="24"/>
        </w:rPr>
        <w:sectPr>
          <w:pgSz w:w="11900" w:h="16840"/>
          <w:pgMar w:top="1380" w:bottom="280" w:left="740" w:right="0"/>
        </w:sectPr>
      </w:pPr>
    </w:p>
    <w:p>
      <w:pPr>
        <w:pStyle w:val="BodyText"/>
        <w:spacing w:before="2"/>
        <w:rPr>
          <w:rFonts w:ascii="Lucida Calligraphy"/>
          <w:i/>
          <w:sz w:val="12"/>
        </w:rPr>
      </w:pPr>
      <w:r>
        <w:rPr/>
        <w:drawing>
          <wp:anchor distT="0" distB="0" distL="0" distR="0" allowOverlap="1" layoutInCell="1" locked="0" behindDoc="1" simplePos="0" relativeHeight="268299023">
            <wp:simplePos x="0" y="0"/>
            <wp:positionH relativeFrom="page">
              <wp:posOffset>1269</wp:posOffset>
            </wp:positionH>
            <wp:positionV relativeFrom="page">
              <wp:posOffset>11390</wp:posOffset>
            </wp:positionV>
            <wp:extent cx="7555230" cy="10639853"/>
            <wp:effectExtent l="0" t="0" r="0" b="0"/>
            <wp:wrapNone/>
            <wp:docPr id="3" name="image15.jpeg" descr=""/>
            <wp:cNvGraphicFramePr>
              <a:graphicFrameLocks noChangeAspect="1"/>
            </wp:cNvGraphicFramePr>
            <a:graphic>
              <a:graphicData uri="http://schemas.openxmlformats.org/drawingml/2006/picture">
                <pic:pic>
                  <pic:nvPicPr>
                    <pic:cNvPr id="4" name="image15.jpeg"/>
                    <pic:cNvPicPr/>
                  </pic:nvPicPr>
                  <pic:blipFill>
                    <a:blip r:embed="rId19" cstate="print"/>
                    <a:stretch>
                      <a:fillRect/>
                    </a:stretch>
                  </pic:blipFill>
                  <pic:spPr>
                    <a:xfrm>
                      <a:off x="0" y="0"/>
                      <a:ext cx="7555230" cy="10639853"/>
                    </a:xfrm>
                    <a:prstGeom prst="rect">
                      <a:avLst/>
                    </a:prstGeom>
                  </pic:spPr>
                </pic:pic>
              </a:graphicData>
            </a:graphic>
          </wp:anchor>
        </w:drawing>
      </w:r>
    </w:p>
    <w:p>
      <w:pPr>
        <w:spacing w:line="723" w:lineRule="exact" w:before="98"/>
        <w:ind w:left="751" w:right="2261" w:firstLine="0"/>
        <w:jc w:val="center"/>
        <w:rPr>
          <w:rFonts w:ascii="Lucida Calligraphy"/>
          <w:i/>
          <w:sz w:val="56"/>
        </w:rPr>
      </w:pPr>
      <w:r>
        <w:rPr>
          <w:rFonts w:ascii="Lucida Calligraphy"/>
          <w:i/>
          <w:color w:val="548ED4"/>
          <w:w w:val="65"/>
          <w:sz w:val="56"/>
        </w:rPr>
        <w:t>DEDICACES</w:t>
      </w:r>
    </w:p>
    <w:p>
      <w:pPr>
        <w:spacing w:line="605" w:lineRule="exact" w:before="0"/>
        <w:ind w:left="3339" w:right="0" w:firstLine="0"/>
        <w:jc w:val="left"/>
        <w:rPr>
          <w:rFonts w:ascii="Lucida Calligraphy" w:hAnsi="Lucida Calligraphy"/>
          <w:i/>
          <w:sz w:val="50"/>
        </w:rPr>
      </w:pPr>
      <w:r>
        <w:rPr>
          <w:rFonts w:ascii="Lucida Calligraphy" w:hAnsi="Lucida Calligraphy"/>
          <w:i/>
          <w:w w:val="65"/>
          <w:sz w:val="50"/>
        </w:rPr>
        <w:t>Je </w:t>
      </w:r>
      <w:r>
        <w:rPr>
          <w:rFonts w:ascii="Lucida Calligraphy" w:hAnsi="Lucida Calligraphy"/>
          <w:i/>
          <w:spacing w:val="4"/>
          <w:w w:val="65"/>
          <w:sz w:val="50"/>
        </w:rPr>
        <w:t>dédie</w:t>
      </w:r>
      <w:r>
        <w:rPr>
          <w:rFonts w:ascii="Lucida Calligraphy" w:hAnsi="Lucida Calligraphy"/>
          <w:i/>
          <w:spacing w:val="-50"/>
          <w:w w:val="65"/>
          <w:sz w:val="50"/>
        </w:rPr>
        <w:t> </w:t>
      </w:r>
      <w:r>
        <w:rPr>
          <w:rFonts w:ascii="Lucida Calligraphy" w:hAnsi="Lucida Calligraphy"/>
          <w:i/>
          <w:spacing w:val="3"/>
          <w:w w:val="65"/>
          <w:sz w:val="50"/>
        </w:rPr>
        <w:t>ce travail</w:t>
      </w:r>
      <w:r>
        <w:rPr>
          <w:rFonts w:ascii="Lucida Calligraphy" w:hAnsi="Lucida Calligraphy"/>
          <w:i/>
          <w:spacing w:val="-53"/>
          <w:w w:val="65"/>
          <w:sz w:val="50"/>
        </w:rPr>
        <w:t> </w:t>
      </w:r>
      <w:r>
        <w:rPr>
          <w:rFonts w:ascii="Lucida Calligraphy" w:hAnsi="Lucida Calligraphy"/>
          <w:i/>
          <w:w w:val="65"/>
          <w:sz w:val="50"/>
        </w:rPr>
        <w:t>à :</w:t>
      </w:r>
    </w:p>
    <w:p>
      <w:pPr>
        <w:spacing w:line="213" w:lineRule="auto" w:before="19"/>
        <w:ind w:left="1524" w:right="2652" w:firstLine="589"/>
        <w:jc w:val="left"/>
        <w:rPr>
          <w:rFonts w:ascii="Lucida Calligraphy" w:hAnsi="Lucida Calligraphy"/>
          <w:i/>
          <w:sz w:val="49"/>
        </w:rPr>
      </w:pPr>
      <w:r>
        <w:rPr>
          <w:rFonts w:ascii="Lucida Calligraphy" w:hAnsi="Lucida Calligraphy"/>
          <w:i/>
          <w:w w:val="55"/>
          <w:sz w:val="49"/>
        </w:rPr>
        <w:t>Ma</w:t>
      </w:r>
      <w:r>
        <w:rPr>
          <w:rFonts w:ascii="Lucida Calligraphy" w:hAnsi="Lucida Calligraphy"/>
          <w:i/>
          <w:spacing w:val="-21"/>
          <w:w w:val="55"/>
          <w:sz w:val="49"/>
        </w:rPr>
        <w:t> </w:t>
      </w:r>
      <w:r>
        <w:rPr>
          <w:rFonts w:ascii="Lucida Calligraphy" w:hAnsi="Lucida Calligraphy"/>
          <w:i/>
          <w:spacing w:val="5"/>
          <w:w w:val="55"/>
          <w:sz w:val="49"/>
        </w:rPr>
        <w:t>très</w:t>
      </w:r>
      <w:r>
        <w:rPr>
          <w:rFonts w:ascii="Lucida Calligraphy" w:hAnsi="Lucida Calligraphy"/>
          <w:i/>
          <w:spacing w:val="-39"/>
          <w:w w:val="55"/>
          <w:sz w:val="49"/>
        </w:rPr>
        <w:t> </w:t>
      </w:r>
      <w:r>
        <w:rPr>
          <w:rFonts w:ascii="Lucida Calligraphy" w:hAnsi="Lucida Calligraphy"/>
          <w:i/>
          <w:spacing w:val="5"/>
          <w:w w:val="55"/>
          <w:sz w:val="49"/>
        </w:rPr>
        <w:t>chère</w:t>
      </w:r>
      <w:r>
        <w:rPr>
          <w:rFonts w:ascii="Lucida Calligraphy" w:hAnsi="Lucida Calligraphy"/>
          <w:i/>
          <w:spacing w:val="-37"/>
          <w:w w:val="55"/>
          <w:sz w:val="49"/>
        </w:rPr>
        <w:t> </w:t>
      </w:r>
      <w:r>
        <w:rPr>
          <w:rFonts w:ascii="Lucida Calligraphy" w:hAnsi="Lucida Calligraphy"/>
          <w:i/>
          <w:spacing w:val="4"/>
          <w:w w:val="55"/>
          <w:sz w:val="49"/>
        </w:rPr>
        <w:t>et</w:t>
      </w:r>
      <w:r>
        <w:rPr>
          <w:rFonts w:ascii="Lucida Calligraphy" w:hAnsi="Lucida Calligraphy"/>
          <w:i/>
          <w:spacing w:val="-23"/>
          <w:w w:val="55"/>
          <w:sz w:val="49"/>
        </w:rPr>
        <w:t> </w:t>
      </w:r>
      <w:r>
        <w:rPr>
          <w:rFonts w:ascii="Lucida Calligraphy" w:hAnsi="Lucida Calligraphy"/>
          <w:i/>
          <w:spacing w:val="3"/>
          <w:w w:val="55"/>
          <w:sz w:val="49"/>
        </w:rPr>
        <w:t>douce</w:t>
      </w:r>
      <w:r>
        <w:rPr>
          <w:rFonts w:ascii="Lucida Calligraphy" w:hAnsi="Lucida Calligraphy"/>
          <w:i/>
          <w:spacing w:val="-31"/>
          <w:w w:val="55"/>
          <w:sz w:val="49"/>
        </w:rPr>
        <w:t> </w:t>
      </w:r>
      <w:r>
        <w:rPr>
          <w:rFonts w:ascii="Lucida Calligraphy" w:hAnsi="Lucida Calligraphy"/>
          <w:i/>
          <w:spacing w:val="4"/>
          <w:w w:val="55"/>
          <w:sz w:val="49"/>
        </w:rPr>
        <w:t>mère</w:t>
      </w:r>
      <w:r>
        <w:rPr>
          <w:rFonts w:ascii="Lucida Calligraphy" w:hAnsi="Lucida Calligraphy"/>
          <w:i/>
          <w:spacing w:val="-32"/>
          <w:w w:val="55"/>
          <w:sz w:val="49"/>
        </w:rPr>
        <w:t> </w:t>
      </w:r>
      <w:r>
        <w:rPr>
          <w:rFonts w:ascii="Lucida Calligraphy" w:hAnsi="Lucida Calligraphy"/>
          <w:i/>
          <w:spacing w:val="4"/>
          <w:w w:val="55"/>
          <w:sz w:val="49"/>
        </w:rPr>
        <w:t>qui</w:t>
      </w:r>
      <w:r>
        <w:rPr>
          <w:rFonts w:ascii="Lucida Calligraphy" w:hAnsi="Lucida Calligraphy"/>
          <w:i/>
          <w:spacing w:val="-28"/>
          <w:w w:val="55"/>
          <w:sz w:val="49"/>
        </w:rPr>
        <w:t> </w:t>
      </w:r>
      <w:r>
        <w:rPr>
          <w:rFonts w:ascii="Lucida Calligraphy" w:hAnsi="Lucida Calligraphy"/>
          <w:i/>
          <w:spacing w:val="3"/>
          <w:w w:val="55"/>
          <w:sz w:val="49"/>
        </w:rPr>
        <w:t>m’a</w:t>
      </w:r>
      <w:r>
        <w:rPr>
          <w:rFonts w:ascii="Lucida Calligraphy" w:hAnsi="Lucida Calligraphy"/>
          <w:i/>
          <w:spacing w:val="-26"/>
          <w:w w:val="55"/>
          <w:sz w:val="49"/>
        </w:rPr>
        <w:t> </w:t>
      </w:r>
      <w:r>
        <w:rPr>
          <w:rFonts w:ascii="Lucida Calligraphy" w:hAnsi="Lucida Calligraphy"/>
          <w:i/>
          <w:spacing w:val="3"/>
          <w:w w:val="55"/>
          <w:sz w:val="49"/>
        </w:rPr>
        <w:t>toujours </w:t>
      </w:r>
      <w:r>
        <w:rPr>
          <w:rFonts w:ascii="Lucida Calligraphy" w:hAnsi="Lucida Calligraphy"/>
          <w:i/>
          <w:spacing w:val="2"/>
          <w:w w:val="65"/>
          <w:sz w:val="49"/>
        </w:rPr>
        <w:t>apporté</w:t>
      </w:r>
      <w:r>
        <w:rPr>
          <w:rFonts w:ascii="Lucida Calligraphy" w:hAnsi="Lucida Calligraphy"/>
          <w:i/>
          <w:spacing w:val="-69"/>
          <w:w w:val="65"/>
          <w:sz w:val="49"/>
        </w:rPr>
        <w:t> </w:t>
      </w:r>
      <w:r>
        <w:rPr>
          <w:rFonts w:ascii="Lucida Calligraphy" w:hAnsi="Lucida Calligraphy"/>
          <w:i/>
          <w:spacing w:val="3"/>
          <w:w w:val="65"/>
          <w:sz w:val="49"/>
        </w:rPr>
        <w:t>son</w:t>
      </w:r>
      <w:r>
        <w:rPr>
          <w:rFonts w:ascii="Lucida Calligraphy" w:hAnsi="Lucida Calligraphy"/>
          <w:i/>
          <w:spacing w:val="-60"/>
          <w:w w:val="65"/>
          <w:sz w:val="49"/>
        </w:rPr>
        <w:t> </w:t>
      </w:r>
      <w:r>
        <w:rPr>
          <w:rFonts w:ascii="Lucida Calligraphy" w:hAnsi="Lucida Calligraphy"/>
          <w:i/>
          <w:spacing w:val="5"/>
          <w:w w:val="65"/>
          <w:sz w:val="49"/>
        </w:rPr>
        <w:t>amour</w:t>
      </w:r>
      <w:r>
        <w:rPr>
          <w:rFonts w:ascii="Lucida Calligraphy" w:hAnsi="Lucida Calligraphy"/>
          <w:i/>
          <w:spacing w:val="-68"/>
          <w:w w:val="65"/>
          <w:sz w:val="49"/>
        </w:rPr>
        <w:t> </w:t>
      </w:r>
      <w:r>
        <w:rPr>
          <w:rFonts w:ascii="Lucida Calligraphy" w:hAnsi="Lucida Calligraphy"/>
          <w:i/>
          <w:spacing w:val="4"/>
          <w:w w:val="65"/>
          <w:sz w:val="49"/>
        </w:rPr>
        <w:t>et</w:t>
      </w:r>
      <w:r>
        <w:rPr>
          <w:rFonts w:ascii="Lucida Calligraphy" w:hAnsi="Lucida Calligraphy"/>
          <w:i/>
          <w:spacing w:val="-54"/>
          <w:w w:val="65"/>
          <w:sz w:val="49"/>
        </w:rPr>
        <w:t> </w:t>
      </w:r>
      <w:r>
        <w:rPr>
          <w:rFonts w:ascii="Lucida Calligraphy" w:hAnsi="Lucida Calligraphy"/>
          <w:i/>
          <w:spacing w:val="3"/>
          <w:w w:val="65"/>
          <w:sz w:val="49"/>
        </w:rPr>
        <w:t>son</w:t>
      </w:r>
      <w:r>
        <w:rPr>
          <w:rFonts w:ascii="Lucida Calligraphy" w:hAnsi="Lucida Calligraphy"/>
          <w:i/>
          <w:spacing w:val="-60"/>
          <w:w w:val="65"/>
          <w:sz w:val="49"/>
        </w:rPr>
        <w:t> </w:t>
      </w:r>
      <w:r>
        <w:rPr>
          <w:rFonts w:ascii="Lucida Calligraphy" w:hAnsi="Lucida Calligraphy"/>
          <w:i/>
          <w:spacing w:val="2"/>
          <w:w w:val="65"/>
          <w:sz w:val="49"/>
        </w:rPr>
        <w:t>affection.</w:t>
      </w:r>
    </w:p>
    <w:p>
      <w:pPr>
        <w:spacing w:line="575" w:lineRule="exact" w:before="0"/>
        <w:ind w:left="2113" w:right="0" w:firstLine="0"/>
        <w:jc w:val="left"/>
        <w:rPr>
          <w:rFonts w:ascii="Lucida Calligraphy" w:hAnsi="Lucida Calligraphy"/>
          <w:i/>
          <w:sz w:val="49"/>
        </w:rPr>
      </w:pPr>
      <w:r>
        <w:rPr>
          <w:rFonts w:ascii="Lucida Calligraphy" w:hAnsi="Lucida Calligraphy"/>
          <w:i/>
          <w:spacing w:val="2"/>
          <w:w w:val="65"/>
          <w:sz w:val="49"/>
        </w:rPr>
        <w:t>Mon</w:t>
      </w:r>
      <w:r>
        <w:rPr>
          <w:rFonts w:ascii="Lucida Calligraphy" w:hAnsi="Lucida Calligraphy"/>
          <w:i/>
          <w:spacing w:val="-78"/>
          <w:w w:val="65"/>
          <w:sz w:val="49"/>
        </w:rPr>
        <w:t> </w:t>
      </w:r>
      <w:r>
        <w:rPr>
          <w:rFonts w:ascii="Lucida Calligraphy" w:hAnsi="Lucida Calligraphy"/>
          <w:i/>
          <w:spacing w:val="4"/>
          <w:w w:val="65"/>
          <w:sz w:val="49"/>
        </w:rPr>
        <w:t>cher</w:t>
      </w:r>
      <w:r>
        <w:rPr>
          <w:rFonts w:ascii="Lucida Calligraphy" w:hAnsi="Lucida Calligraphy"/>
          <w:i/>
          <w:spacing w:val="-82"/>
          <w:w w:val="65"/>
          <w:sz w:val="49"/>
        </w:rPr>
        <w:t> </w:t>
      </w:r>
      <w:r>
        <w:rPr>
          <w:rFonts w:ascii="Lucida Calligraphy" w:hAnsi="Lucida Calligraphy"/>
          <w:i/>
          <w:spacing w:val="5"/>
          <w:w w:val="65"/>
          <w:sz w:val="49"/>
        </w:rPr>
        <w:t>père,</w:t>
      </w:r>
      <w:r>
        <w:rPr>
          <w:rFonts w:ascii="Lucida Calligraphy" w:hAnsi="Lucida Calligraphy"/>
          <w:i/>
          <w:spacing w:val="-84"/>
          <w:w w:val="65"/>
          <w:sz w:val="49"/>
        </w:rPr>
        <w:t> </w:t>
      </w:r>
      <w:r>
        <w:rPr>
          <w:rFonts w:ascii="Lucida Calligraphy" w:hAnsi="Lucida Calligraphy"/>
          <w:i/>
          <w:spacing w:val="4"/>
          <w:w w:val="65"/>
          <w:sz w:val="49"/>
        </w:rPr>
        <w:t>qui</w:t>
      </w:r>
      <w:r>
        <w:rPr>
          <w:rFonts w:ascii="Lucida Calligraphy" w:hAnsi="Lucida Calligraphy"/>
          <w:i/>
          <w:spacing w:val="-76"/>
          <w:w w:val="65"/>
          <w:sz w:val="49"/>
        </w:rPr>
        <w:t> </w:t>
      </w:r>
      <w:r>
        <w:rPr>
          <w:rFonts w:ascii="Lucida Calligraphy" w:hAnsi="Lucida Calligraphy"/>
          <w:i/>
          <w:spacing w:val="3"/>
          <w:w w:val="65"/>
          <w:sz w:val="49"/>
        </w:rPr>
        <w:t>m’a</w:t>
      </w:r>
      <w:r>
        <w:rPr>
          <w:rFonts w:ascii="Lucida Calligraphy" w:hAnsi="Lucida Calligraphy"/>
          <w:i/>
          <w:spacing w:val="-78"/>
          <w:w w:val="65"/>
          <w:sz w:val="49"/>
        </w:rPr>
        <w:t> </w:t>
      </w:r>
      <w:r>
        <w:rPr>
          <w:rFonts w:ascii="Lucida Calligraphy" w:hAnsi="Lucida Calligraphy"/>
          <w:i/>
          <w:spacing w:val="2"/>
          <w:w w:val="65"/>
          <w:sz w:val="49"/>
        </w:rPr>
        <w:t>toujours</w:t>
      </w:r>
      <w:r>
        <w:rPr>
          <w:rFonts w:ascii="Lucida Calligraphy" w:hAnsi="Lucida Calligraphy"/>
          <w:i/>
          <w:spacing w:val="-81"/>
          <w:w w:val="65"/>
          <w:sz w:val="49"/>
        </w:rPr>
        <w:t> </w:t>
      </w:r>
      <w:r>
        <w:rPr>
          <w:rFonts w:ascii="Lucida Calligraphy" w:hAnsi="Lucida Calligraphy"/>
          <w:i/>
          <w:w w:val="65"/>
          <w:sz w:val="49"/>
        </w:rPr>
        <w:t>encouragé,</w:t>
      </w:r>
      <w:r>
        <w:rPr>
          <w:rFonts w:ascii="Lucida Calligraphy" w:hAnsi="Lucida Calligraphy"/>
          <w:i/>
          <w:spacing w:val="-82"/>
          <w:w w:val="65"/>
          <w:sz w:val="49"/>
        </w:rPr>
        <w:t> </w:t>
      </w:r>
      <w:r>
        <w:rPr>
          <w:rFonts w:ascii="Lucida Calligraphy" w:hAnsi="Lucida Calligraphy"/>
          <w:i/>
          <w:spacing w:val="2"/>
          <w:w w:val="65"/>
          <w:sz w:val="49"/>
        </w:rPr>
        <w:t>conseillé</w:t>
      </w:r>
    </w:p>
    <w:p>
      <w:pPr>
        <w:spacing w:line="603" w:lineRule="exact" w:before="0"/>
        <w:ind w:left="1524" w:right="0" w:firstLine="0"/>
        <w:jc w:val="left"/>
        <w:rPr>
          <w:rFonts w:ascii="Lucida Calligraphy"/>
          <w:i/>
          <w:sz w:val="50"/>
        </w:rPr>
      </w:pPr>
      <w:r>
        <w:rPr>
          <w:rFonts w:ascii="Lucida Calligraphy"/>
          <w:i/>
          <w:spacing w:val="4"/>
          <w:w w:val="65"/>
          <w:sz w:val="50"/>
        </w:rPr>
        <w:t>et</w:t>
      </w:r>
      <w:r>
        <w:rPr>
          <w:rFonts w:ascii="Lucida Calligraphy"/>
          <w:i/>
          <w:spacing w:val="-48"/>
          <w:w w:val="65"/>
          <w:sz w:val="50"/>
        </w:rPr>
        <w:t> </w:t>
      </w:r>
      <w:r>
        <w:rPr>
          <w:rFonts w:ascii="Lucida Calligraphy"/>
          <w:i/>
          <w:spacing w:val="2"/>
          <w:w w:val="65"/>
          <w:sz w:val="50"/>
        </w:rPr>
        <w:t>soutenu</w:t>
      </w:r>
      <w:r>
        <w:rPr>
          <w:rFonts w:ascii="Lucida Calligraphy"/>
          <w:i/>
          <w:spacing w:val="-51"/>
          <w:w w:val="65"/>
          <w:sz w:val="50"/>
        </w:rPr>
        <w:t> </w:t>
      </w:r>
      <w:r>
        <w:rPr>
          <w:rFonts w:ascii="Lucida Calligraphy"/>
          <w:i/>
          <w:spacing w:val="4"/>
          <w:w w:val="65"/>
          <w:sz w:val="50"/>
        </w:rPr>
        <w:t>dans</w:t>
      </w:r>
      <w:r>
        <w:rPr>
          <w:rFonts w:ascii="Lucida Calligraphy"/>
          <w:i/>
          <w:spacing w:val="-47"/>
          <w:w w:val="65"/>
          <w:sz w:val="50"/>
        </w:rPr>
        <w:t> </w:t>
      </w:r>
      <w:r>
        <w:rPr>
          <w:rFonts w:ascii="Lucida Calligraphy"/>
          <w:i/>
          <w:spacing w:val="2"/>
          <w:w w:val="65"/>
          <w:sz w:val="50"/>
        </w:rPr>
        <w:t>mon travail.</w:t>
      </w:r>
    </w:p>
    <w:p>
      <w:pPr>
        <w:spacing w:line="594" w:lineRule="exact" w:before="0"/>
        <w:ind w:left="2113" w:right="0" w:firstLine="0"/>
        <w:jc w:val="left"/>
        <w:rPr>
          <w:rFonts w:ascii="Lucida Calligraphy" w:hAnsi="Lucida Calligraphy"/>
          <w:i/>
          <w:sz w:val="49"/>
        </w:rPr>
      </w:pPr>
      <w:r>
        <w:rPr>
          <w:rFonts w:ascii="Lucida Calligraphy" w:hAnsi="Lucida Calligraphy"/>
          <w:i/>
          <w:spacing w:val="2"/>
          <w:w w:val="65"/>
          <w:sz w:val="49"/>
        </w:rPr>
        <w:t>Mon grand-père</w:t>
      </w:r>
      <w:r>
        <w:rPr>
          <w:rFonts w:ascii="Lucida Calligraphy" w:hAnsi="Lucida Calligraphy"/>
          <w:i/>
          <w:spacing w:val="-52"/>
          <w:w w:val="65"/>
          <w:sz w:val="49"/>
        </w:rPr>
        <w:t> </w:t>
      </w:r>
      <w:r>
        <w:rPr>
          <w:rFonts w:ascii="Lucida Calligraphy" w:hAnsi="Lucida Calligraphy"/>
          <w:i/>
          <w:w w:val="65"/>
          <w:sz w:val="49"/>
        </w:rPr>
        <w:t>: </w:t>
      </w:r>
      <w:r>
        <w:rPr>
          <w:rFonts w:ascii="Lucida Calligraphy" w:hAnsi="Lucida Calligraphy"/>
          <w:i/>
          <w:spacing w:val="3"/>
          <w:w w:val="65"/>
          <w:sz w:val="49"/>
        </w:rPr>
        <w:t>Laamari.</w:t>
      </w:r>
    </w:p>
    <w:p>
      <w:pPr>
        <w:spacing w:line="213" w:lineRule="auto" w:before="20"/>
        <w:ind w:left="1524" w:right="2095" w:firstLine="589"/>
        <w:jc w:val="left"/>
        <w:rPr>
          <w:rFonts w:ascii="Lucida Calligraphy" w:hAnsi="Lucida Calligraphy"/>
          <w:i/>
          <w:sz w:val="49"/>
        </w:rPr>
      </w:pPr>
      <w:r>
        <w:rPr>
          <w:rFonts w:ascii="Lucida Calligraphy" w:hAnsi="Lucida Calligraphy"/>
          <w:i/>
          <w:spacing w:val="4"/>
          <w:w w:val="55"/>
          <w:sz w:val="49"/>
        </w:rPr>
        <w:t>Mes</w:t>
      </w:r>
      <w:r>
        <w:rPr>
          <w:rFonts w:ascii="Lucida Calligraphy" w:hAnsi="Lucida Calligraphy"/>
          <w:i/>
          <w:spacing w:val="-34"/>
          <w:w w:val="55"/>
          <w:sz w:val="49"/>
        </w:rPr>
        <w:t> </w:t>
      </w:r>
      <w:r>
        <w:rPr>
          <w:rFonts w:ascii="Lucida Calligraphy" w:hAnsi="Lucida Calligraphy"/>
          <w:i/>
          <w:spacing w:val="3"/>
          <w:w w:val="55"/>
          <w:sz w:val="49"/>
        </w:rPr>
        <w:t>chères</w:t>
      </w:r>
      <w:r>
        <w:rPr>
          <w:rFonts w:ascii="Lucida Calligraphy" w:hAnsi="Lucida Calligraphy"/>
          <w:i/>
          <w:spacing w:val="-33"/>
          <w:w w:val="55"/>
          <w:sz w:val="49"/>
        </w:rPr>
        <w:t> </w:t>
      </w:r>
      <w:r>
        <w:rPr>
          <w:rFonts w:ascii="Lucida Calligraphy" w:hAnsi="Lucida Calligraphy"/>
          <w:i/>
          <w:spacing w:val="4"/>
          <w:w w:val="55"/>
          <w:sz w:val="49"/>
        </w:rPr>
        <w:t>sœurs</w:t>
      </w:r>
      <w:r>
        <w:rPr>
          <w:rFonts w:ascii="Lucida Calligraphy" w:hAnsi="Lucida Calligraphy"/>
          <w:i/>
          <w:spacing w:val="-29"/>
          <w:w w:val="55"/>
          <w:sz w:val="49"/>
        </w:rPr>
        <w:t> </w:t>
      </w:r>
      <w:r>
        <w:rPr>
          <w:rFonts w:ascii="Lucida Calligraphy" w:hAnsi="Lucida Calligraphy"/>
          <w:i/>
          <w:w w:val="55"/>
          <w:sz w:val="49"/>
        </w:rPr>
        <w:t>:</w:t>
      </w:r>
      <w:r>
        <w:rPr>
          <w:rFonts w:ascii="Lucida Calligraphy" w:hAnsi="Lucida Calligraphy"/>
          <w:i/>
          <w:spacing w:val="-15"/>
          <w:w w:val="55"/>
          <w:sz w:val="49"/>
        </w:rPr>
        <w:t> </w:t>
      </w:r>
      <w:r>
        <w:rPr>
          <w:rFonts w:ascii="Lucida Calligraphy" w:hAnsi="Lucida Calligraphy"/>
          <w:i/>
          <w:spacing w:val="2"/>
          <w:w w:val="55"/>
          <w:sz w:val="49"/>
        </w:rPr>
        <w:t>Fatima,</w:t>
      </w:r>
      <w:r>
        <w:rPr>
          <w:rFonts w:ascii="Lucida Calligraphy" w:hAnsi="Lucida Calligraphy"/>
          <w:i/>
          <w:spacing w:val="-34"/>
          <w:w w:val="55"/>
          <w:sz w:val="49"/>
        </w:rPr>
        <w:t> </w:t>
      </w:r>
      <w:r>
        <w:rPr>
          <w:rFonts w:ascii="Lucida Calligraphy" w:hAnsi="Lucida Calligraphy"/>
          <w:i/>
          <w:spacing w:val="4"/>
          <w:w w:val="55"/>
          <w:sz w:val="49"/>
        </w:rPr>
        <w:t>Sara,</w:t>
      </w:r>
      <w:r>
        <w:rPr>
          <w:rFonts w:ascii="Lucida Calligraphy" w:hAnsi="Lucida Calligraphy"/>
          <w:i/>
          <w:spacing w:val="-35"/>
          <w:w w:val="55"/>
          <w:sz w:val="49"/>
        </w:rPr>
        <w:t> </w:t>
      </w:r>
      <w:r>
        <w:rPr>
          <w:rFonts w:ascii="Lucida Calligraphy" w:hAnsi="Lucida Calligraphy"/>
          <w:i/>
          <w:spacing w:val="4"/>
          <w:w w:val="55"/>
          <w:sz w:val="49"/>
        </w:rPr>
        <w:t>Souad</w:t>
      </w:r>
      <w:r>
        <w:rPr>
          <w:rFonts w:ascii="Lucida Calligraphy" w:hAnsi="Lucida Calligraphy"/>
          <w:i/>
          <w:spacing w:val="-31"/>
          <w:w w:val="55"/>
          <w:sz w:val="49"/>
        </w:rPr>
        <w:t> </w:t>
      </w:r>
      <w:r>
        <w:rPr>
          <w:rFonts w:ascii="Lucida Calligraphy" w:hAnsi="Lucida Calligraphy"/>
          <w:i/>
          <w:spacing w:val="4"/>
          <w:w w:val="55"/>
          <w:sz w:val="49"/>
        </w:rPr>
        <w:t>et</w:t>
      </w:r>
      <w:r>
        <w:rPr>
          <w:rFonts w:ascii="Lucida Calligraphy" w:hAnsi="Lucida Calligraphy"/>
          <w:i/>
          <w:spacing w:val="-22"/>
          <w:w w:val="55"/>
          <w:sz w:val="49"/>
        </w:rPr>
        <w:t> </w:t>
      </w:r>
      <w:r>
        <w:rPr>
          <w:rFonts w:ascii="Lucida Calligraphy" w:hAnsi="Lucida Calligraphy"/>
          <w:i/>
          <w:spacing w:val="3"/>
          <w:w w:val="55"/>
          <w:sz w:val="49"/>
        </w:rPr>
        <w:t>sa</w:t>
      </w:r>
      <w:r>
        <w:rPr>
          <w:rFonts w:ascii="Lucida Calligraphy" w:hAnsi="Lucida Calligraphy"/>
          <w:i/>
          <w:spacing w:val="-19"/>
          <w:w w:val="55"/>
          <w:sz w:val="49"/>
        </w:rPr>
        <w:t> </w:t>
      </w:r>
      <w:r>
        <w:rPr>
          <w:rFonts w:ascii="Lucida Calligraphy" w:hAnsi="Lucida Calligraphy"/>
          <w:i/>
          <w:spacing w:val="5"/>
          <w:w w:val="55"/>
          <w:sz w:val="49"/>
        </w:rPr>
        <w:t>fille </w:t>
      </w:r>
      <w:r>
        <w:rPr>
          <w:rFonts w:ascii="Lucida Calligraphy" w:hAnsi="Lucida Calligraphy"/>
          <w:i/>
          <w:spacing w:val="3"/>
          <w:w w:val="65"/>
          <w:sz w:val="49"/>
        </w:rPr>
        <w:t>Allaa.</w:t>
      </w:r>
    </w:p>
    <w:p>
      <w:pPr>
        <w:spacing w:line="213" w:lineRule="auto" w:before="6"/>
        <w:ind w:left="1524" w:right="1797" w:firstLine="589"/>
        <w:jc w:val="left"/>
        <w:rPr>
          <w:rFonts w:ascii="Lucida Calligraphy" w:hAnsi="Lucida Calligraphy"/>
          <w:i/>
          <w:sz w:val="49"/>
        </w:rPr>
      </w:pPr>
      <w:r>
        <w:rPr>
          <w:rFonts w:ascii="Lucida Calligraphy" w:hAnsi="Lucida Calligraphy"/>
          <w:i/>
          <w:spacing w:val="4"/>
          <w:w w:val="55"/>
          <w:sz w:val="49"/>
        </w:rPr>
        <w:t>Mes</w:t>
      </w:r>
      <w:r>
        <w:rPr>
          <w:rFonts w:ascii="Lucida Calligraphy" w:hAnsi="Lucida Calligraphy"/>
          <w:i/>
          <w:spacing w:val="-37"/>
          <w:w w:val="55"/>
          <w:sz w:val="49"/>
        </w:rPr>
        <w:t> </w:t>
      </w:r>
      <w:r>
        <w:rPr>
          <w:rFonts w:ascii="Lucida Calligraphy" w:hAnsi="Lucida Calligraphy"/>
          <w:i/>
          <w:spacing w:val="5"/>
          <w:w w:val="55"/>
          <w:sz w:val="49"/>
        </w:rPr>
        <w:t>chers</w:t>
      </w:r>
      <w:r>
        <w:rPr>
          <w:rFonts w:ascii="Lucida Calligraphy" w:hAnsi="Lucida Calligraphy"/>
          <w:i/>
          <w:spacing w:val="-41"/>
          <w:w w:val="55"/>
          <w:sz w:val="49"/>
        </w:rPr>
        <w:t> </w:t>
      </w:r>
      <w:r>
        <w:rPr>
          <w:rFonts w:ascii="Lucida Calligraphy" w:hAnsi="Lucida Calligraphy"/>
          <w:i/>
          <w:spacing w:val="4"/>
          <w:w w:val="55"/>
          <w:sz w:val="49"/>
        </w:rPr>
        <w:t>frères</w:t>
      </w:r>
      <w:r>
        <w:rPr>
          <w:rFonts w:ascii="Lucida Calligraphy" w:hAnsi="Lucida Calligraphy"/>
          <w:i/>
          <w:spacing w:val="-36"/>
          <w:w w:val="55"/>
          <w:sz w:val="49"/>
        </w:rPr>
        <w:t> </w:t>
      </w:r>
      <w:r>
        <w:rPr>
          <w:rFonts w:ascii="Lucida Calligraphy" w:hAnsi="Lucida Calligraphy"/>
          <w:i/>
          <w:w w:val="55"/>
          <w:sz w:val="49"/>
        </w:rPr>
        <w:t>:</w:t>
      </w:r>
      <w:r>
        <w:rPr>
          <w:rFonts w:ascii="Lucida Calligraphy" w:hAnsi="Lucida Calligraphy"/>
          <w:i/>
          <w:spacing w:val="-13"/>
          <w:w w:val="55"/>
          <w:sz w:val="49"/>
        </w:rPr>
        <w:t> </w:t>
      </w:r>
      <w:r>
        <w:rPr>
          <w:rFonts w:ascii="Lucida Calligraphy" w:hAnsi="Lucida Calligraphy"/>
          <w:i/>
          <w:spacing w:val="3"/>
          <w:w w:val="55"/>
          <w:sz w:val="49"/>
        </w:rPr>
        <w:t>Rabeh,</w:t>
      </w:r>
      <w:r>
        <w:rPr>
          <w:rFonts w:ascii="Lucida Calligraphy" w:hAnsi="Lucida Calligraphy"/>
          <w:i/>
          <w:spacing w:val="-37"/>
          <w:w w:val="55"/>
          <w:sz w:val="49"/>
        </w:rPr>
        <w:t> </w:t>
      </w:r>
      <w:r>
        <w:rPr>
          <w:rFonts w:ascii="Lucida Calligraphy" w:hAnsi="Lucida Calligraphy"/>
          <w:i/>
          <w:spacing w:val="3"/>
          <w:w w:val="55"/>
          <w:sz w:val="49"/>
        </w:rPr>
        <w:t>Mouhamed</w:t>
      </w:r>
      <w:r>
        <w:rPr>
          <w:rFonts w:ascii="Lucida Calligraphy" w:hAnsi="Lucida Calligraphy"/>
          <w:i/>
          <w:spacing w:val="-37"/>
          <w:w w:val="55"/>
          <w:sz w:val="49"/>
        </w:rPr>
        <w:t> </w:t>
      </w:r>
      <w:r>
        <w:rPr>
          <w:rFonts w:ascii="Lucida Calligraphy" w:hAnsi="Lucida Calligraphy"/>
          <w:i/>
          <w:w w:val="55"/>
          <w:sz w:val="49"/>
        </w:rPr>
        <w:t>,</w:t>
      </w:r>
      <w:r>
        <w:rPr>
          <w:rFonts w:ascii="Lucida Calligraphy" w:hAnsi="Lucida Calligraphy"/>
          <w:i/>
          <w:spacing w:val="-16"/>
          <w:w w:val="55"/>
          <w:sz w:val="49"/>
        </w:rPr>
        <w:t> </w:t>
      </w:r>
      <w:r>
        <w:rPr>
          <w:rFonts w:ascii="Lucida Calligraphy" w:hAnsi="Lucida Calligraphy"/>
          <w:i/>
          <w:spacing w:val="2"/>
          <w:w w:val="55"/>
          <w:sz w:val="49"/>
        </w:rPr>
        <w:t>Moubarek</w:t>
      </w:r>
      <w:r>
        <w:rPr>
          <w:rFonts w:ascii="Lucida Calligraphy" w:hAnsi="Lucida Calligraphy"/>
          <w:i/>
          <w:spacing w:val="-40"/>
          <w:w w:val="55"/>
          <w:sz w:val="49"/>
        </w:rPr>
        <w:t> </w:t>
      </w:r>
      <w:r>
        <w:rPr>
          <w:rFonts w:ascii="Lucida Calligraphy" w:hAnsi="Lucida Calligraphy"/>
          <w:i/>
          <w:spacing w:val="4"/>
          <w:w w:val="55"/>
          <w:sz w:val="49"/>
        </w:rPr>
        <w:t>et </w:t>
      </w:r>
      <w:r>
        <w:rPr>
          <w:rFonts w:ascii="Lucida Calligraphy" w:hAnsi="Lucida Calligraphy"/>
          <w:i/>
          <w:spacing w:val="3"/>
          <w:w w:val="65"/>
          <w:sz w:val="49"/>
        </w:rPr>
        <w:t>sa</w:t>
      </w:r>
      <w:r>
        <w:rPr>
          <w:rFonts w:ascii="Lucida Calligraphy" w:hAnsi="Lucida Calligraphy"/>
          <w:i/>
          <w:spacing w:val="-70"/>
          <w:w w:val="65"/>
          <w:sz w:val="49"/>
        </w:rPr>
        <w:t> </w:t>
      </w:r>
      <w:r>
        <w:rPr>
          <w:rFonts w:ascii="Lucida Calligraphy" w:hAnsi="Lucida Calligraphy"/>
          <w:i/>
          <w:spacing w:val="4"/>
          <w:w w:val="65"/>
          <w:sz w:val="49"/>
        </w:rPr>
        <w:t>petite</w:t>
      </w:r>
      <w:r>
        <w:rPr>
          <w:rFonts w:ascii="Lucida Calligraphy" w:hAnsi="Lucida Calligraphy"/>
          <w:i/>
          <w:spacing w:val="-75"/>
          <w:w w:val="65"/>
          <w:sz w:val="49"/>
        </w:rPr>
        <w:t> </w:t>
      </w:r>
      <w:r>
        <w:rPr>
          <w:rFonts w:ascii="Lucida Calligraphy" w:hAnsi="Lucida Calligraphy"/>
          <w:i/>
          <w:spacing w:val="3"/>
          <w:w w:val="65"/>
          <w:sz w:val="49"/>
        </w:rPr>
        <w:t>famille</w:t>
      </w:r>
      <w:r>
        <w:rPr>
          <w:rFonts w:ascii="Lucida Calligraphy" w:hAnsi="Lucida Calligraphy"/>
          <w:i/>
          <w:spacing w:val="-73"/>
          <w:w w:val="65"/>
          <w:sz w:val="49"/>
        </w:rPr>
        <w:t> </w:t>
      </w:r>
      <w:r>
        <w:rPr>
          <w:rFonts w:ascii="Lucida Calligraphy" w:hAnsi="Lucida Calligraphy"/>
          <w:i/>
          <w:w w:val="65"/>
          <w:sz w:val="49"/>
        </w:rPr>
        <w:t>:</w:t>
      </w:r>
      <w:r>
        <w:rPr>
          <w:rFonts w:ascii="Lucida Calligraphy" w:hAnsi="Lucida Calligraphy"/>
          <w:i/>
          <w:spacing w:val="-61"/>
          <w:w w:val="65"/>
          <w:sz w:val="49"/>
        </w:rPr>
        <w:t> </w:t>
      </w:r>
      <w:r>
        <w:rPr>
          <w:rFonts w:ascii="Lucida Calligraphy" w:hAnsi="Lucida Calligraphy"/>
          <w:i/>
          <w:spacing w:val="4"/>
          <w:w w:val="65"/>
          <w:sz w:val="49"/>
        </w:rPr>
        <w:t>Samia</w:t>
      </w:r>
      <w:r>
        <w:rPr>
          <w:rFonts w:ascii="Lucida Calligraphy" w:hAnsi="Lucida Calligraphy"/>
          <w:i/>
          <w:spacing w:val="-75"/>
          <w:w w:val="65"/>
          <w:sz w:val="49"/>
        </w:rPr>
        <w:t> </w:t>
      </w:r>
      <w:r>
        <w:rPr>
          <w:rFonts w:ascii="Lucida Calligraphy" w:hAnsi="Lucida Calligraphy"/>
          <w:i/>
          <w:w w:val="65"/>
          <w:sz w:val="49"/>
        </w:rPr>
        <w:t>,</w:t>
      </w:r>
      <w:r>
        <w:rPr>
          <w:rFonts w:ascii="Lucida Calligraphy" w:hAnsi="Lucida Calligraphy"/>
          <w:i/>
          <w:spacing w:val="-61"/>
          <w:w w:val="65"/>
          <w:sz w:val="49"/>
        </w:rPr>
        <w:t> </w:t>
      </w:r>
      <w:r>
        <w:rPr>
          <w:rFonts w:ascii="Lucida Calligraphy" w:hAnsi="Lucida Calligraphy"/>
          <w:i/>
          <w:spacing w:val="4"/>
          <w:w w:val="65"/>
          <w:sz w:val="49"/>
        </w:rPr>
        <w:t>Firas</w:t>
      </w:r>
      <w:r>
        <w:rPr>
          <w:rFonts w:ascii="Lucida Calligraphy" w:hAnsi="Lucida Calligraphy"/>
          <w:i/>
          <w:spacing w:val="-76"/>
          <w:w w:val="65"/>
          <w:sz w:val="49"/>
        </w:rPr>
        <w:t> </w:t>
      </w:r>
      <w:r>
        <w:rPr>
          <w:rFonts w:ascii="Lucida Calligraphy" w:hAnsi="Lucida Calligraphy"/>
          <w:i/>
          <w:spacing w:val="4"/>
          <w:w w:val="65"/>
          <w:sz w:val="49"/>
        </w:rPr>
        <w:t>et</w:t>
      </w:r>
      <w:r>
        <w:rPr>
          <w:rFonts w:ascii="Lucida Calligraphy" w:hAnsi="Lucida Calligraphy"/>
          <w:i/>
          <w:spacing w:val="-67"/>
          <w:w w:val="65"/>
          <w:sz w:val="49"/>
        </w:rPr>
        <w:t> </w:t>
      </w:r>
      <w:r>
        <w:rPr>
          <w:rFonts w:ascii="Lucida Calligraphy" w:hAnsi="Lucida Calligraphy"/>
          <w:i/>
          <w:spacing w:val="3"/>
          <w:w w:val="65"/>
          <w:sz w:val="49"/>
        </w:rPr>
        <w:t>Loukman.</w:t>
      </w:r>
    </w:p>
    <w:p>
      <w:pPr>
        <w:spacing w:line="575" w:lineRule="exact" w:before="0"/>
        <w:ind w:left="2113" w:right="0" w:firstLine="0"/>
        <w:jc w:val="left"/>
        <w:rPr>
          <w:rFonts w:ascii="Lucida Calligraphy"/>
          <w:i/>
          <w:sz w:val="49"/>
        </w:rPr>
      </w:pPr>
      <w:r>
        <w:rPr>
          <w:rFonts w:ascii="Lucida Calligraphy"/>
          <w:i/>
          <w:w w:val="65"/>
          <w:sz w:val="49"/>
        </w:rPr>
        <w:t>Ma</w:t>
      </w:r>
      <w:r>
        <w:rPr>
          <w:rFonts w:ascii="Lucida Calligraphy"/>
          <w:i/>
          <w:spacing w:val="-56"/>
          <w:w w:val="65"/>
          <w:sz w:val="49"/>
        </w:rPr>
        <w:t> </w:t>
      </w:r>
      <w:r>
        <w:rPr>
          <w:rFonts w:ascii="Lucida Calligraphy"/>
          <w:i/>
          <w:spacing w:val="3"/>
          <w:w w:val="65"/>
          <w:sz w:val="49"/>
        </w:rPr>
        <w:t>tante</w:t>
      </w:r>
      <w:r>
        <w:rPr>
          <w:rFonts w:ascii="Lucida Calligraphy"/>
          <w:i/>
          <w:spacing w:val="-66"/>
          <w:w w:val="65"/>
          <w:sz w:val="49"/>
        </w:rPr>
        <w:t> </w:t>
      </w:r>
      <w:r>
        <w:rPr>
          <w:rFonts w:ascii="Lucida Calligraphy"/>
          <w:i/>
          <w:spacing w:val="5"/>
          <w:w w:val="65"/>
          <w:sz w:val="49"/>
        </w:rPr>
        <w:t>Rbiaa</w:t>
      </w:r>
      <w:r>
        <w:rPr>
          <w:rFonts w:ascii="Lucida Calligraphy"/>
          <w:i/>
          <w:spacing w:val="-67"/>
          <w:w w:val="65"/>
          <w:sz w:val="49"/>
        </w:rPr>
        <w:t> </w:t>
      </w:r>
      <w:r>
        <w:rPr>
          <w:rFonts w:ascii="Lucida Calligraphy"/>
          <w:i/>
          <w:w w:val="65"/>
          <w:sz w:val="49"/>
        </w:rPr>
        <w:t>, </w:t>
      </w:r>
      <w:r>
        <w:rPr>
          <w:rFonts w:ascii="Lucida Calligraphy"/>
          <w:i/>
          <w:spacing w:val="3"/>
          <w:w w:val="65"/>
          <w:sz w:val="49"/>
        </w:rPr>
        <w:t>son</w:t>
      </w:r>
      <w:r>
        <w:rPr>
          <w:rFonts w:ascii="Lucida Calligraphy"/>
          <w:i/>
          <w:spacing w:val="-59"/>
          <w:w w:val="65"/>
          <w:sz w:val="49"/>
        </w:rPr>
        <w:t> </w:t>
      </w:r>
      <w:r>
        <w:rPr>
          <w:rFonts w:ascii="Lucida Calligraphy"/>
          <w:i/>
          <w:spacing w:val="4"/>
          <w:w w:val="65"/>
          <w:sz w:val="49"/>
        </w:rPr>
        <w:t>marie</w:t>
      </w:r>
      <w:r>
        <w:rPr>
          <w:rFonts w:ascii="Lucida Calligraphy"/>
          <w:i/>
          <w:spacing w:val="-66"/>
          <w:w w:val="65"/>
          <w:sz w:val="49"/>
        </w:rPr>
        <w:t> </w:t>
      </w:r>
      <w:r>
        <w:rPr>
          <w:rFonts w:ascii="Lucida Calligraphy"/>
          <w:i/>
          <w:spacing w:val="4"/>
          <w:w w:val="65"/>
          <w:sz w:val="49"/>
        </w:rPr>
        <w:t>Abdalah</w:t>
      </w:r>
      <w:r>
        <w:rPr>
          <w:rFonts w:ascii="Lucida Calligraphy"/>
          <w:i/>
          <w:spacing w:val="-65"/>
          <w:w w:val="65"/>
          <w:sz w:val="49"/>
        </w:rPr>
        <w:t> </w:t>
      </w:r>
      <w:r>
        <w:rPr>
          <w:rFonts w:ascii="Lucida Calligraphy"/>
          <w:i/>
          <w:spacing w:val="4"/>
          <w:w w:val="65"/>
          <w:sz w:val="49"/>
        </w:rPr>
        <w:t>et</w:t>
      </w:r>
      <w:r>
        <w:rPr>
          <w:rFonts w:ascii="Lucida Calligraphy"/>
          <w:i/>
          <w:spacing w:val="-58"/>
          <w:w w:val="65"/>
          <w:sz w:val="49"/>
        </w:rPr>
        <w:t> </w:t>
      </w:r>
      <w:r>
        <w:rPr>
          <w:rFonts w:ascii="Lucida Calligraphy"/>
          <w:i/>
          <w:spacing w:val="3"/>
          <w:w w:val="65"/>
          <w:sz w:val="49"/>
        </w:rPr>
        <w:t>son</w:t>
      </w:r>
      <w:r>
        <w:rPr>
          <w:rFonts w:ascii="Lucida Calligraphy"/>
          <w:i/>
          <w:spacing w:val="-58"/>
          <w:w w:val="65"/>
          <w:sz w:val="49"/>
        </w:rPr>
        <w:t> </w:t>
      </w:r>
      <w:r>
        <w:rPr>
          <w:rFonts w:ascii="Lucida Calligraphy"/>
          <w:i/>
          <w:spacing w:val="4"/>
          <w:w w:val="65"/>
          <w:sz w:val="49"/>
        </w:rPr>
        <w:t>fils</w:t>
      </w:r>
    </w:p>
    <w:p>
      <w:pPr>
        <w:spacing w:line="603" w:lineRule="exact" w:before="0"/>
        <w:ind w:left="1524" w:right="0" w:firstLine="0"/>
        <w:jc w:val="left"/>
        <w:rPr>
          <w:rFonts w:ascii="Lucida Calligraphy"/>
          <w:i/>
          <w:sz w:val="50"/>
        </w:rPr>
      </w:pPr>
      <w:r>
        <w:rPr>
          <w:rFonts w:ascii="Lucida Calligraphy"/>
          <w:i/>
          <w:w w:val="65"/>
          <w:sz w:val="50"/>
        </w:rPr>
        <w:t>Mouad.</w:t>
      </w:r>
    </w:p>
    <w:p>
      <w:pPr>
        <w:spacing w:line="213" w:lineRule="auto" w:before="19"/>
        <w:ind w:left="1524" w:right="2288" w:firstLine="589"/>
        <w:jc w:val="left"/>
        <w:rPr>
          <w:rFonts w:ascii="Lucida Calligraphy"/>
          <w:i/>
          <w:sz w:val="49"/>
        </w:rPr>
      </w:pPr>
      <w:r>
        <w:rPr>
          <w:rFonts w:ascii="Lucida Calligraphy"/>
          <w:i/>
          <w:w w:val="55"/>
          <w:sz w:val="49"/>
        </w:rPr>
        <w:t>Mes cousines : Afaf, Khadidja, Chaima, Asia et </w:t>
      </w:r>
      <w:r>
        <w:rPr>
          <w:rFonts w:ascii="Lucida Calligraphy"/>
          <w:i/>
          <w:w w:val="65"/>
          <w:sz w:val="49"/>
        </w:rPr>
        <w:t>Dalel</w:t>
      </w:r>
    </w:p>
    <w:p>
      <w:pPr>
        <w:spacing w:line="576" w:lineRule="exact" w:before="0"/>
        <w:ind w:left="2113" w:right="0" w:firstLine="0"/>
        <w:jc w:val="left"/>
        <w:rPr>
          <w:rFonts w:ascii="Lucida Calligraphy"/>
          <w:i/>
          <w:sz w:val="49"/>
        </w:rPr>
      </w:pPr>
      <w:r>
        <w:rPr>
          <w:rFonts w:ascii="Lucida Calligraphy"/>
          <w:i/>
          <w:spacing w:val="4"/>
          <w:w w:val="65"/>
          <w:sz w:val="49"/>
        </w:rPr>
        <w:t>Mes</w:t>
      </w:r>
      <w:r>
        <w:rPr>
          <w:rFonts w:ascii="Lucida Calligraphy"/>
          <w:i/>
          <w:spacing w:val="-72"/>
          <w:w w:val="65"/>
          <w:sz w:val="49"/>
        </w:rPr>
        <w:t> </w:t>
      </w:r>
      <w:r>
        <w:rPr>
          <w:rFonts w:ascii="Lucida Calligraphy"/>
          <w:i/>
          <w:spacing w:val="5"/>
          <w:w w:val="65"/>
          <w:sz w:val="49"/>
        </w:rPr>
        <w:t>amies</w:t>
      </w:r>
      <w:r>
        <w:rPr>
          <w:rFonts w:ascii="Lucida Calligraphy"/>
          <w:i/>
          <w:spacing w:val="-74"/>
          <w:w w:val="65"/>
          <w:sz w:val="49"/>
        </w:rPr>
        <w:t> </w:t>
      </w:r>
      <w:r>
        <w:rPr>
          <w:rFonts w:ascii="Lucida Calligraphy"/>
          <w:i/>
          <w:w w:val="65"/>
          <w:sz w:val="49"/>
        </w:rPr>
        <w:t>:</w:t>
      </w:r>
      <w:r>
        <w:rPr>
          <w:rFonts w:ascii="Lucida Calligraphy"/>
          <w:i/>
          <w:spacing w:val="-57"/>
          <w:w w:val="65"/>
          <w:sz w:val="49"/>
        </w:rPr>
        <w:t> </w:t>
      </w:r>
      <w:r>
        <w:rPr>
          <w:rFonts w:ascii="Lucida Calligraphy"/>
          <w:i/>
          <w:spacing w:val="3"/>
          <w:w w:val="65"/>
          <w:sz w:val="49"/>
        </w:rPr>
        <w:t>Imene,</w:t>
      </w:r>
      <w:r>
        <w:rPr>
          <w:rFonts w:ascii="Lucida Calligraphy"/>
          <w:i/>
          <w:spacing w:val="-72"/>
          <w:w w:val="65"/>
          <w:sz w:val="49"/>
        </w:rPr>
        <w:t> </w:t>
      </w:r>
      <w:r>
        <w:rPr>
          <w:rFonts w:ascii="Lucida Calligraphy"/>
          <w:i/>
          <w:spacing w:val="4"/>
          <w:w w:val="65"/>
          <w:sz w:val="49"/>
        </w:rPr>
        <w:t>Zahra,</w:t>
      </w:r>
      <w:r>
        <w:rPr>
          <w:rFonts w:ascii="Lucida Calligraphy"/>
          <w:i/>
          <w:spacing w:val="-75"/>
          <w:w w:val="65"/>
          <w:sz w:val="49"/>
        </w:rPr>
        <w:t> </w:t>
      </w:r>
      <w:r>
        <w:rPr>
          <w:rFonts w:ascii="Lucida Calligraphy"/>
          <w:i/>
          <w:spacing w:val="4"/>
          <w:w w:val="65"/>
          <w:sz w:val="49"/>
        </w:rPr>
        <w:t>Khawla,</w:t>
      </w:r>
      <w:r>
        <w:rPr>
          <w:rFonts w:ascii="Lucida Calligraphy"/>
          <w:i/>
          <w:spacing w:val="-72"/>
          <w:w w:val="65"/>
          <w:sz w:val="49"/>
        </w:rPr>
        <w:t> </w:t>
      </w:r>
      <w:r>
        <w:rPr>
          <w:rFonts w:ascii="Lucida Calligraphy"/>
          <w:i/>
          <w:spacing w:val="4"/>
          <w:w w:val="65"/>
          <w:sz w:val="49"/>
        </w:rPr>
        <w:t>Amel,</w:t>
      </w:r>
      <w:r>
        <w:rPr>
          <w:rFonts w:ascii="Lucida Calligraphy"/>
          <w:i/>
          <w:spacing w:val="-72"/>
          <w:w w:val="65"/>
          <w:sz w:val="49"/>
        </w:rPr>
        <w:t> </w:t>
      </w:r>
      <w:r>
        <w:rPr>
          <w:rFonts w:ascii="Lucida Calligraphy"/>
          <w:i/>
          <w:spacing w:val="6"/>
          <w:w w:val="65"/>
          <w:sz w:val="49"/>
        </w:rPr>
        <w:t>Hada,</w:t>
      </w:r>
    </w:p>
    <w:p>
      <w:pPr>
        <w:spacing w:line="603" w:lineRule="exact" w:before="0"/>
        <w:ind w:left="1524" w:right="0" w:firstLine="0"/>
        <w:jc w:val="left"/>
        <w:rPr>
          <w:rFonts w:ascii="Lucida Calligraphy"/>
          <w:i/>
          <w:sz w:val="50"/>
        </w:rPr>
      </w:pPr>
      <w:r>
        <w:rPr>
          <w:rFonts w:ascii="Lucida Calligraphy"/>
          <w:i/>
          <w:spacing w:val="3"/>
          <w:w w:val="65"/>
          <w:sz w:val="50"/>
        </w:rPr>
        <w:t>Rima,</w:t>
      </w:r>
      <w:r>
        <w:rPr>
          <w:rFonts w:ascii="Lucida Calligraphy"/>
          <w:i/>
          <w:spacing w:val="-87"/>
          <w:w w:val="65"/>
          <w:sz w:val="50"/>
        </w:rPr>
        <w:t> </w:t>
      </w:r>
      <w:r>
        <w:rPr>
          <w:rFonts w:ascii="Lucida Calligraphy"/>
          <w:i/>
          <w:spacing w:val="4"/>
          <w:w w:val="65"/>
          <w:sz w:val="50"/>
        </w:rPr>
        <w:t>et </w:t>
      </w:r>
      <w:r>
        <w:rPr>
          <w:rFonts w:ascii="Lucida Calligraphy"/>
          <w:i/>
          <w:spacing w:val="2"/>
          <w:w w:val="65"/>
          <w:sz w:val="50"/>
        </w:rPr>
        <w:t>meriem.</w:t>
      </w:r>
    </w:p>
    <w:p>
      <w:pPr>
        <w:spacing w:line="213" w:lineRule="auto" w:before="18"/>
        <w:ind w:left="1524" w:right="2863" w:firstLine="589"/>
        <w:jc w:val="left"/>
        <w:rPr>
          <w:rFonts w:ascii="Lucida Calligraphy" w:hAnsi="Lucida Calligraphy"/>
          <w:i/>
          <w:sz w:val="49"/>
        </w:rPr>
      </w:pPr>
      <w:r>
        <w:rPr>
          <w:rFonts w:ascii="Lucida Calligraphy" w:hAnsi="Lucida Calligraphy"/>
          <w:i/>
          <w:w w:val="55"/>
          <w:sz w:val="49"/>
        </w:rPr>
        <w:t>Et</w:t>
      </w:r>
      <w:r>
        <w:rPr>
          <w:rFonts w:ascii="Lucida Calligraphy" w:hAnsi="Lucida Calligraphy"/>
          <w:i/>
          <w:spacing w:val="-21"/>
          <w:w w:val="55"/>
          <w:sz w:val="49"/>
        </w:rPr>
        <w:t> </w:t>
      </w:r>
      <w:r>
        <w:rPr>
          <w:rFonts w:ascii="Lucida Calligraphy" w:hAnsi="Lucida Calligraphy"/>
          <w:i/>
          <w:spacing w:val="4"/>
          <w:w w:val="55"/>
          <w:sz w:val="49"/>
        </w:rPr>
        <w:t>enfin</w:t>
      </w:r>
      <w:r>
        <w:rPr>
          <w:rFonts w:ascii="Lucida Calligraphy" w:hAnsi="Lucida Calligraphy"/>
          <w:i/>
          <w:spacing w:val="-33"/>
          <w:w w:val="55"/>
          <w:sz w:val="49"/>
        </w:rPr>
        <w:t> </w:t>
      </w:r>
      <w:r>
        <w:rPr>
          <w:rFonts w:ascii="Lucida Calligraphy" w:hAnsi="Lucida Calligraphy"/>
          <w:i/>
          <w:w w:val="55"/>
          <w:sz w:val="49"/>
        </w:rPr>
        <w:t>je</w:t>
      </w:r>
      <w:r>
        <w:rPr>
          <w:rFonts w:ascii="Lucida Calligraphy" w:hAnsi="Lucida Calligraphy"/>
          <w:i/>
          <w:spacing w:val="-18"/>
          <w:w w:val="55"/>
          <w:sz w:val="49"/>
        </w:rPr>
        <w:t> </w:t>
      </w:r>
      <w:r>
        <w:rPr>
          <w:rFonts w:ascii="Lucida Calligraphy" w:hAnsi="Lucida Calligraphy"/>
          <w:i/>
          <w:spacing w:val="3"/>
          <w:w w:val="55"/>
          <w:sz w:val="49"/>
        </w:rPr>
        <w:t>dirais</w:t>
      </w:r>
      <w:r>
        <w:rPr>
          <w:rFonts w:ascii="Lucida Calligraphy" w:hAnsi="Lucida Calligraphy"/>
          <w:i/>
          <w:spacing w:val="-31"/>
          <w:w w:val="55"/>
          <w:sz w:val="49"/>
        </w:rPr>
        <w:t> </w:t>
      </w:r>
      <w:r>
        <w:rPr>
          <w:rFonts w:ascii="Lucida Calligraphy" w:hAnsi="Lucida Calligraphy"/>
          <w:i/>
          <w:spacing w:val="4"/>
          <w:w w:val="55"/>
          <w:sz w:val="49"/>
        </w:rPr>
        <w:t>merci</w:t>
      </w:r>
      <w:r>
        <w:rPr>
          <w:rFonts w:ascii="Lucida Calligraphy" w:hAnsi="Lucida Calligraphy"/>
          <w:i/>
          <w:spacing w:val="-38"/>
          <w:w w:val="55"/>
          <w:sz w:val="49"/>
        </w:rPr>
        <w:t> </w:t>
      </w:r>
      <w:r>
        <w:rPr>
          <w:rFonts w:ascii="Lucida Calligraphy" w:hAnsi="Lucida Calligraphy"/>
          <w:i/>
          <w:w w:val="55"/>
          <w:sz w:val="49"/>
        </w:rPr>
        <w:t>à</w:t>
      </w:r>
      <w:r>
        <w:rPr>
          <w:rFonts w:ascii="Lucida Calligraphy" w:hAnsi="Lucida Calligraphy"/>
          <w:i/>
          <w:spacing w:val="-5"/>
          <w:w w:val="55"/>
          <w:sz w:val="49"/>
        </w:rPr>
        <w:t> </w:t>
      </w:r>
      <w:r>
        <w:rPr>
          <w:rFonts w:ascii="Lucida Calligraphy" w:hAnsi="Lucida Calligraphy"/>
          <w:i/>
          <w:spacing w:val="3"/>
          <w:w w:val="55"/>
          <w:sz w:val="49"/>
        </w:rPr>
        <w:t>tous</w:t>
      </w:r>
      <w:r>
        <w:rPr>
          <w:rFonts w:ascii="Lucida Calligraphy" w:hAnsi="Lucida Calligraphy"/>
          <w:i/>
          <w:spacing w:val="-26"/>
          <w:w w:val="55"/>
          <w:sz w:val="49"/>
        </w:rPr>
        <w:t> </w:t>
      </w:r>
      <w:r>
        <w:rPr>
          <w:rFonts w:ascii="Lucida Calligraphy" w:hAnsi="Lucida Calligraphy"/>
          <w:i/>
          <w:spacing w:val="5"/>
          <w:w w:val="55"/>
          <w:sz w:val="49"/>
        </w:rPr>
        <w:t>ceux</w:t>
      </w:r>
      <w:r>
        <w:rPr>
          <w:rFonts w:ascii="Lucida Calligraphy" w:hAnsi="Lucida Calligraphy"/>
          <w:i/>
          <w:spacing w:val="-34"/>
          <w:w w:val="55"/>
          <w:sz w:val="49"/>
        </w:rPr>
        <w:t> </w:t>
      </w:r>
      <w:r>
        <w:rPr>
          <w:rFonts w:ascii="Lucida Calligraphy" w:hAnsi="Lucida Calligraphy"/>
          <w:i/>
          <w:spacing w:val="4"/>
          <w:w w:val="55"/>
          <w:sz w:val="49"/>
        </w:rPr>
        <w:t>qui</w:t>
      </w:r>
      <w:r>
        <w:rPr>
          <w:rFonts w:ascii="Lucida Calligraphy" w:hAnsi="Lucida Calligraphy"/>
          <w:i/>
          <w:spacing w:val="-25"/>
          <w:w w:val="55"/>
          <w:sz w:val="49"/>
        </w:rPr>
        <w:t> </w:t>
      </w:r>
      <w:r>
        <w:rPr>
          <w:rFonts w:ascii="Lucida Calligraphy" w:hAnsi="Lucida Calligraphy"/>
          <w:i/>
          <w:spacing w:val="3"/>
          <w:w w:val="55"/>
          <w:sz w:val="49"/>
        </w:rPr>
        <w:t>mon </w:t>
      </w:r>
      <w:r>
        <w:rPr>
          <w:rFonts w:ascii="Lucida Calligraphy" w:hAnsi="Lucida Calligraphy"/>
          <w:i/>
          <w:w w:val="65"/>
          <w:sz w:val="49"/>
        </w:rPr>
        <w:t>soutenus.</w:t>
      </w:r>
    </w:p>
    <w:p>
      <w:pPr>
        <w:pStyle w:val="BodyText"/>
        <w:rPr>
          <w:rFonts w:ascii="Lucida Calligraphy"/>
          <w:i/>
          <w:sz w:val="20"/>
        </w:rPr>
      </w:pPr>
    </w:p>
    <w:p>
      <w:pPr>
        <w:pStyle w:val="BodyText"/>
        <w:rPr>
          <w:rFonts w:ascii="Lucida Calligraphy"/>
          <w:i/>
          <w:sz w:val="20"/>
        </w:rPr>
      </w:pPr>
    </w:p>
    <w:p>
      <w:pPr>
        <w:pStyle w:val="BodyText"/>
        <w:rPr>
          <w:rFonts w:ascii="Lucida Calligraphy"/>
          <w:i/>
          <w:sz w:val="20"/>
        </w:rPr>
      </w:pPr>
    </w:p>
    <w:p>
      <w:pPr>
        <w:spacing w:before="241"/>
        <w:ind w:left="7269" w:right="0" w:firstLine="0"/>
        <w:jc w:val="left"/>
        <w:rPr>
          <w:rFonts w:ascii="Lucida Calligraphy"/>
          <w:i/>
          <w:sz w:val="99"/>
        </w:rPr>
      </w:pPr>
      <w:r>
        <w:rPr>
          <w:rFonts w:ascii="Lucida Calligraphy"/>
          <w:i/>
          <w:w w:val="65"/>
          <w:sz w:val="99"/>
        </w:rPr>
        <w:t>Yamina</w:t>
      </w:r>
    </w:p>
    <w:p>
      <w:pPr>
        <w:spacing w:after="0"/>
        <w:jc w:val="left"/>
        <w:rPr>
          <w:rFonts w:ascii="Lucida Calligraphy"/>
          <w:sz w:val="99"/>
        </w:rPr>
        <w:sectPr>
          <w:pgSz w:w="11900" w:h="16840"/>
          <w:pgMar w:top="1600" w:bottom="280" w:left="740" w:right="0"/>
        </w:sectPr>
      </w:pPr>
    </w:p>
    <w:p>
      <w:pPr>
        <w:pStyle w:val="BodyText"/>
        <w:spacing w:before="4"/>
        <w:rPr>
          <w:sz w:val="17"/>
        </w:rPr>
      </w:pPr>
    </w:p>
    <w:p>
      <w:pPr>
        <w:spacing w:after="0"/>
        <w:rPr>
          <w:sz w:val="17"/>
        </w:rPr>
        <w:sectPr>
          <w:pgSz w:w="11900" w:h="16840"/>
          <w:pgMar w:top="1600" w:bottom="280" w:left="740" w:right="0"/>
        </w:sectPr>
      </w:pPr>
    </w:p>
    <w:p>
      <w:pPr>
        <w:pStyle w:val="BodyText"/>
        <w:spacing w:before="3"/>
        <w:rPr>
          <w:sz w:val="10"/>
        </w:rPr>
      </w:pPr>
    </w:p>
    <w:p>
      <w:pPr>
        <w:pStyle w:val="BodyText"/>
        <w:ind w:left="3997"/>
        <w:rPr>
          <w:sz w:val="20"/>
        </w:rPr>
      </w:pPr>
      <w:r>
        <w:rPr>
          <w:sz w:val="20"/>
        </w:rPr>
        <w:pict>
          <v:group style="width:121.35pt;height:55.9pt;mso-position-horizontal-relative:char;mso-position-vertical-relative:line" coordorigin="0,0" coordsize="2427,1118">
            <v:shape style="position:absolute;left:0;top:41;width:2427;height:1076" type="#_x0000_t75" stroked="false">
              <v:imagedata r:id="rId20" o:title=""/>
            </v:shape>
            <v:shape style="position:absolute;left:2;top:168;width:253;height:781" type="#_x0000_t75" stroked="false">
              <v:imagedata r:id="rId21" o:title=""/>
            </v:shape>
            <v:shape style="position:absolute;left:282;top:89;width:234;height:795" type="#_x0000_t75" stroked="false">
              <v:imagedata r:id="rId22" o:title=""/>
            </v:shape>
            <v:shape style="position:absolute;left:544;top:80;width:240;height:762" type="#_x0000_t75" stroked="false">
              <v:imagedata r:id="rId23" o:title=""/>
            </v:shape>
            <v:shape style="position:absolute;left:816;top:61;width:109;height:728" type="#_x0000_t75" stroked="false">
              <v:imagedata r:id="rId24" o:title=""/>
            </v:shape>
            <v:shape style="position:absolute;left:957;top:154;width:233;height:598" type="#_x0000_t75" stroked="false">
              <v:imagedata r:id="rId25" o:title=""/>
            </v:shape>
            <v:shape style="position:absolute;left:1216;top:115;width:240;height:592" type="#_x0000_t75" stroked="false">
              <v:imagedata r:id="rId26" o:title=""/>
            </v:shape>
            <v:shape style="position:absolute;left:1485;top:77;width:240;height:570" type="#_x0000_t75" stroked="false">
              <v:imagedata r:id="rId27" o:title=""/>
            </v:shape>
            <v:shape style="position:absolute;left:1751;top:38;width:250;height:554" type="#_x0000_t75" stroked="false">
              <v:imagedata r:id="rId28" o:title=""/>
            </v:shape>
            <v:shape style="position:absolute;left:2023;top:0;width:243;height:539" type="#_x0000_t75" stroked="false">
              <v:imagedata r:id="rId29" o:title=""/>
            </v:shape>
          </v:group>
        </w:pict>
      </w:r>
      <w:r>
        <w:rPr>
          <w:sz w:val="20"/>
        </w:rPr>
      </w:r>
    </w:p>
    <w:p>
      <w:pPr>
        <w:pStyle w:val="BodyText"/>
        <w:spacing w:before="5"/>
        <w:rPr>
          <w:sz w:val="18"/>
        </w:rPr>
      </w:pPr>
    </w:p>
    <w:p>
      <w:pPr>
        <w:spacing w:line="276" w:lineRule="auto" w:before="100"/>
        <w:ind w:left="1059" w:right="2095" w:firstLine="1159"/>
        <w:jc w:val="left"/>
        <w:rPr>
          <w:rFonts w:ascii="Lucida Calligraphy" w:hAnsi="Lucida Calligraphy"/>
          <w:i/>
          <w:sz w:val="22"/>
        </w:rPr>
      </w:pPr>
      <w:r>
        <w:rPr>
          <w:rFonts w:ascii="Lucida Calligraphy" w:hAnsi="Lucida Calligraphy"/>
          <w:i/>
          <w:sz w:val="22"/>
        </w:rPr>
        <w:t>Je dédie ce mémoire en premier lieu à mes plus chers êtres au monde</w:t>
      </w:r>
      <w:r>
        <w:rPr>
          <w:rFonts w:ascii="Lucida Calligraphy" w:hAnsi="Lucida Calligraphy"/>
          <w:i/>
          <w:spacing w:val="72"/>
          <w:sz w:val="22"/>
        </w:rPr>
        <w:t> </w:t>
      </w:r>
      <w:r>
        <w:rPr>
          <w:rFonts w:ascii="Lucida Calligraphy" w:hAnsi="Lucida Calligraphy"/>
          <w:i/>
          <w:sz w:val="22"/>
        </w:rPr>
        <w:t>:</w:t>
      </w:r>
    </w:p>
    <w:p>
      <w:pPr>
        <w:spacing w:line="436" w:lineRule="auto" w:before="198"/>
        <w:ind w:left="1059" w:right="2256" w:firstLine="0"/>
        <w:jc w:val="left"/>
        <w:rPr>
          <w:rFonts w:ascii="Lucida Calligraphy" w:hAnsi="Lucida Calligraphy"/>
          <w:i/>
          <w:sz w:val="22"/>
        </w:rPr>
      </w:pPr>
      <w:r>
        <w:rPr>
          <w:rFonts w:ascii="Lucida Calligraphy" w:hAnsi="Lucida Calligraphy"/>
          <w:i/>
          <w:sz w:val="22"/>
        </w:rPr>
        <w:t>Ma mère et mon père pour leur amour, leur tendresse, et pour leur soutien moral et matériel durant toutes les étapes de ma vie</w:t>
      </w:r>
    </w:p>
    <w:p>
      <w:pPr>
        <w:spacing w:line="297" w:lineRule="exact" w:before="0"/>
        <w:ind w:left="1767" w:right="0" w:firstLine="0"/>
        <w:jc w:val="left"/>
        <w:rPr>
          <w:rFonts w:ascii="Lucida Calligraphy" w:hAnsi="Lucida Calligraphy"/>
          <w:i/>
          <w:sz w:val="22"/>
        </w:rPr>
      </w:pPr>
      <w:r>
        <w:rPr>
          <w:rFonts w:ascii="Lucida Calligraphy" w:hAnsi="Lucida Calligraphy"/>
          <w:i/>
          <w:sz w:val="22"/>
        </w:rPr>
        <w:t>A mes chères sœurs : Marwa, Safa et Lina Noor</w:t>
      </w:r>
    </w:p>
    <w:p>
      <w:pPr>
        <w:spacing w:line="434" w:lineRule="auto" w:before="248"/>
        <w:ind w:left="1059" w:right="1450" w:firstLine="708"/>
        <w:jc w:val="left"/>
        <w:rPr>
          <w:rFonts w:ascii="Lucida Calligraphy" w:hAnsi="Lucida Calligraphy"/>
          <w:i/>
          <w:sz w:val="22"/>
        </w:rPr>
      </w:pPr>
      <w:r>
        <w:rPr>
          <w:rFonts w:ascii="Lucida Calligraphy" w:hAnsi="Lucida Calligraphy"/>
          <w:i/>
          <w:sz w:val="22"/>
        </w:rPr>
        <w:t>A celui qui m’a offert le soutien moral, qui a été toujours présent pour moi, mon mari ZINOU</w:t>
      </w:r>
    </w:p>
    <w:p>
      <w:pPr>
        <w:spacing w:line="276" w:lineRule="auto" w:before="3"/>
        <w:ind w:left="1059" w:right="2095" w:firstLine="708"/>
        <w:jc w:val="left"/>
        <w:rPr>
          <w:rFonts w:ascii="Lucida Calligraphy" w:hAnsi="Lucida Calligraphy"/>
          <w:i/>
          <w:sz w:val="22"/>
        </w:rPr>
      </w:pPr>
      <w:r>
        <w:rPr>
          <w:rFonts w:ascii="Lucida Calligraphy" w:hAnsi="Lucida Calligraphy"/>
          <w:i/>
          <w:sz w:val="22"/>
        </w:rPr>
        <w:t>A ma deuxième famille : Fatima, Laamari, Rbiha,Med saleh, Raouf, Islem</w:t>
      </w:r>
    </w:p>
    <w:p>
      <w:pPr>
        <w:spacing w:before="199"/>
        <w:ind w:left="1767" w:right="0" w:firstLine="0"/>
        <w:jc w:val="left"/>
        <w:rPr>
          <w:rFonts w:ascii="Lucida Calligraphy"/>
          <w:i/>
          <w:sz w:val="22"/>
        </w:rPr>
      </w:pPr>
      <w:r>
        <w:rPr>
          <w:rFonts w:ascii="Lucida Calligraphy"/>
          <w:i/>
          <w:sz w:val="22"/>
        </w:rPr>
        <w:t>A mes cousins : Chouaib et Hamza</w:t>
      </w:r>
    </w:p>
    <w:p>
      <w:pPr>
        <w:spacing w:line="436" w:lineRule="auto" w:before="245"/>
        <w:ind w:left="1059" w:right="2652" w:firstLine="708"/>
        <w:jc w:val="left"/>
        <w:rPr>
          <w:rFonts w:ascii="Lucida Calligraphy"/>
          <w:i/>
          <w:sz w:val="22"/>
        </w:rPr>
      </w:pPr>
      <w:r>
        <w:rPr>
          <w:rFonts w:ascii="Lucida Calligraphy"/>
          <w:i/>
          <w:sz w:val="22"/>
        </w:rPr>
        <w:t>A mes tante : Yasmina, Hadda, el atra, Razika, Rbiha et Nemcha</w:t>
      </w:r>
    </w:p>
    <w:p>
      <w:pPr>
        <w:spacing w:line="297" w:lineRule="exact" w:before="0"/>
        <w:ind w:left="1767" w:right="0" w:firstLine="0"/>
        <w:jc w:val="left"/>
        <w:rPr>
          <w:rFonts w:ascii="Lucida Calligraphy"/>
          <w:i/>
          <w:sz w:val="22"/>
        </w:rPr>
      </w:pPr>
      <w:r>
        <w:rPr>
          <w:rFonts w:ascii="Lucida Calligraphy"/>
          <w:i/>
          <w:sz w:val="22"/>
        </w:rPr>
        <w:t>A mes oncles : Tahar, Kamel et Sassi</w:t>
      </w:r>
    </w:p>
    <w:p>
      <w:pPr>
        <w:spacing w:line="436" w:lineRule="auto" w:before="244"/>
        <w:ind w:left="1059" w:right="2652" w:firstLine="708"/>
        <w:jc w:val="left"/>
        <w:rPr>
          <w:rFonts w:ascii="Lucida Calligraphy"/>
          <w:i/>
          <w:sz w:val="22"/>
        </w:rPr>
      </w:pPr>
      <w:r>
        <w:rPr>
          <w:rFonts w:ascii="Lucida Calligraphy"/>
          <w:i/>
          <w:sz w:val="22"/>
        </w:rPr>
        <w:t>A mes cousine : Nounou, Jojo, Rahima, Amira,</w:t>
      </w:r>
      <w:r>
        <w:rPr>
          <w:rFonts w:ascii="Lucida Calligraphy"/>
          <w:i/>
          <w:spacing w:val="58"/>
          <w:sz w:val="22"/>
        </w:rPr>
        <w:t> </w:t>
      </w:r>
      <w:r>
        <w:rPr>
          <w:rFonts w:ascii="Lucida Calligraphy"/>
          <w:i/>
          <w:sz w:val="22"/>
        </w:rPr>
        <w:t>Karima, Loubna, Ikram, Assia, Samia</w:t>
      </w:r>
    </w:p>
    <w:p>
      <w:pPr>
        <w:tabs>
          <w:tab w:pos="5952" w:val="left" w:leader="none"/>
        </w:tabs>
        <w:spacing w:line="276" w:lineRule="auto" w:before="1"/>
        <w:ind w:left="1059" w:right="1797" w:firstLine="708"/>
        <w:jc w:val="left"/>
        <w:rPr>
          <w:rFonts w:ascii="Lucida Calligraphy" w:hAnsi="Lucida Calligraphy"/>
          <w:i/>
          <w:sz w:val="22"/>
        </w:rPr>
      </w:pPr>
      <w:r>
        <w:rPr>
          <w:rFonts w:ascii="Lucida Calligraphy" w:hAnsi="Lucida Calligraphy"/>
          <w:i/>
          <w:sz w:val="22"/>
        </w:rPr>
        <w:t>A  mes  chères  amies </w:t>
      </w:r>
      <w:r>
        <w:rPr>
          <w:rFonts w:ascii="Lucida Calligraphy" w:hAnsi="Lucida Calligraphy"/>
          <w:i/>
          <w:spacing w:val="21"/>
          <w:sz w:val="22"/>
        </w:rPr>
        <w:t> </w:t>
      </w:r>
      <w:r>
        <w:rPr>
          <w:rFonts w:ascii="Lucida Calligraphy" w:hAnsi="Lucida Calligraphy"/>
          <w:i/>
          <w:sz w:val="22"/>
        </w:rPr>
        <w:t>: </w:t>
      </w:r>
      <w:r>
        <w:rPr>
          <w:rFonts w:ascii="Lucida Calligraphy" w:hAnsi="Lucida Calligraphy"/>
          <w:i/>
          <w:spacing w:val="4"/>
          <w:sz w:val="22"/>
        </w:rPr>
        <w:t> </w:t>
      </w:r>
      <w:r>
        <w:rPr>
          <w:rFonts w:ascii="Lucida Calligraphy" w:hAnsi="Lucida Calligraphy"/>
          <w:i/>
          <w:sz w:val="22"/>
        </w:rPr>
        <w:t>Yamina,</w:t>
        <w:tab/>
        <w:t>Ibtissem, Houda, </w:t>
      </w:r>
      <w:r>
        <w:rPr>
          <w:rFonts w:ascii="Lucida Calligraphy" w:hAnsi="Lucida Calligraphy"/>
          <w:i/>
          <w:spacing w:val="-3"/>
          <w:sz w:val="22"/>
        </w:rPr>
        <w:t>Khouloud, </w:t>
      </w:r>
      <w:r>
        <w:rPr>
          <w:rFonts w:ascii="Lucida Calligraphy" w:hAnsi="Lucida Calligraphy"/>
          <w:i/>
          <w:sz w:val="22"/>
        </w:rPr>
        <w:t>Hayette, Rokaia, Khadidja.</w:t>
      </w:r>
    </w:p>
    <w:p>
      <w:pPr>
        <w:pStyle w:val="BodyText"/>
        <w:rPr>
          <w:rFonts w:ascii="Lucida Calligraphy"/>
          <w:i/>
          <w:sz w:val="20"/>
        </w:rPr>
      </w:pPr>
    </w:p>
    <w:p>
      <w:pPr>
        <w:pStyle w:val="BodyText"/>
        <w:rPr>
          <w:rFonts w:ascii="Lucida Calligraphy"/>
          <w:i/>
          <w:sz w:val="20"/>
        </w:rPr>
      </w:pPr>
    </w:p>
    <w:p>
      <w:pPr>
        <w:pStyle w:val="BodyText"/>
        <w:rPr>
          <w:rFonts w:ascii="Lucida Calligraphy"/>
          <w:i/>
          <w:sz w:val="20"/>
        </w:rPr>
      </w:pPr>
    </w:p>
    <w:p>
      <w:pPr>
        <w:pStyle w:val="BodyText"/>
        <w:spacing w:before="13"/>
        <w:rPr>
          <w:rFonts w:ascii="Lucida Calligraphy"/>
          <w:i/>
          <w:sz w:val="16"/>
        </w:rPr>
      </w:pPr>
      <w:r>
        <w:rPr/>
        <w:pict>
          <v:group style="position:absolute;margin-left:404.470337pt;margin-top:13.510188pt;width:89.45pt;height:53.5pt;mso-position-horizontal-relative:page;mso-position-vertical-relative:paragraph;z-index:-880;mso-wrap-distance-left:0;mso-wrap-distance-right:0" coordorigin="8089,270" coordsize="1789,1070">
            <v:shape style="position:absolute;left:8144;top:941;width:448;height:391" coordorigin="8144,941" coordsize="448,391" path="m8587,944l8512,944,8139,1333,8260,1333,8587,944xe" filled="true" fillcolor="#865b0d" stroked="false">
              <v:path arrowok="t"/>
              <v:fill opacity="45746f" type="solid"/>
            </v:shape>
            <v:shape style="position:absolute;left:8346;top:1023;width:549;height:308" coordorigin="8346,1024" coordsize="549,308" path="m8641,1032l8569,1032,8341,1333,8450,1333,8560,1165,8600,1117,8632,1104,8885,1104,8889,1082,8887,1069,8616,1069,8641,1032xm8885,1104l8632,1104,8644,1110,8644,1127,8631,1153,8527,1333,8636,1333,8716,1163,8746,1118,8761,1107,8776,1104,8885,1104,8885,1104xm8885,1104l8776,1104,8786,1108,8792,1118,8786,1147,8713,1333,8822,1333,8880,1130,8885,1104xm8713,1026l8670,1036,8616,1069,8753,1069,8751,1050,8745,1036,8733,1029,8713,1026xm8842,1026l8802,1035,8753,1069,8887,1069,8884,1050,8869,1032,8842,1026xe" filled="true" fillcolor="#865b0d" stroked="false">
              <v:path arrowok="t"/>
              <v:fill opacity="45746f" type="solid"/>
            </v:shape>
            <v:shape style="position:absolute;left:8899;top:1023;width:308;height:316" coordorigin="8899,1024" coordsize="308,316" path="m9163,1084l9060,1084,9082,1092,9087,1119,9056,1132,8990,1150,8952,1163,8925,1182,8907,1208,8895,1242,8893,1279,8905,1312,8933,1334,8976,1342,9013,1338,9045,1327,9088,1290,9186,1290,9183,1266,9025,1266,9011,1264,9001,1257,8996,1232,9007,1210,9045,1191,9086,1175,9175,1175,9172,1123,9163,1084xm9186,1290l9088,1290,9091,1312,9099,1333,9201,1333,9187,1297,9186,1290xm9175,1175l9086,1175,9085,1194,9078,1231,9057,1256,9025,1266,9183,1266,9182,1259,9175,1175xm9054,1026l9014,1030,8983,1041,8955,1066,8934,1106,9013,1117,9029,1092,9060,1084,9163,1084,9162,1082,9145,1051,9128,1038,9109,1031,9054,1026xe" filled="true" fillcolor="#865b0d" stroked="false">
              <v:path arrowok="t"/>
              <v:fill opacity="45746f" type="solid"/>
            </v:shape>
            <v:shape style="position:absolute;left:9216;top:1023;width:343;height:308" coordorigin="9217,1024" coordsize="343,308" path="m9282,1032l9211,1032,9252,1333,9361,1333,9322,1174,9316,1140,9318,1119,9326,1108,9339,1104,9451,1104,9438,1081,9432,1073,9292,1073,9282,1032xm9451,1104l9339,1104,9364,1115,9384,1153,9443,1333,9553,1333,9464,1128,9451,1104xm9352,1026l9331,1029,9316,1036,9292,1073,9432,1073,9411,1050,9383,1032,9352,1026xe" filled="true" fillcolor="#865b0d" stroked="false">
              <v:path arrowok="t"/>
              <v:fill opacity="45746f" type="solid"/>
            </v:shape>
            <v:shape style="position:absolute;left:9507;top:1023;width:363;height:316" coordorigin="9507,1024" coordsize="363,316" path="m9567,1026l9544,1028,9525,1035,9512,1046,9504,1063,9501,1084,9503,1108,9524,1168,9552,1216,9588,1259,9630,1296,9672,1321,9719,1337,9773,1342,9827,1336,9856,1318,9864,1287,9858,1262,9724,1262,9699,1257,9672,1241,9634,1197,9822,1197,9812,1183,9775,1142,9601,1142,9588,1104,9593,1089,9608,1084,9714,1084,9684,1063,9646,1042,9608,1030,9567,1026xm9749,1232l9746,1253,9737,1260,9724,1262,9858,1262,9854,1243,9749,1232xm9714,1084l9608,1084,9644,1097,9688,1142,9775,1142,9766,1131,9723,1091,9714,1084xe" filled="true" fillcolor="#865b0d" stroked="false">
              <v:path arrowok="t"/>
              <v:fill opacity="45746f" type="solid"/>
            </v:shape>
            <v:shape style="position:absolute;left:8099;top:280;width:719;height:1003" type="#_x0000_t75" stroked="false">
              <v:imagedata r:id="rId30" o:title=""/>
            </v:shape>
            <v:shape style="position:absolute;left:8848;top:540;width:320;height:760" type="#_x0000_t75" stroked="false">
              <v:imagedata r:id="rId31" o:title=""/>
            </v:shape>
            <v:shape style="position:absolute;left:9202;top:540;width:666;height:760" type="#_x0000_t75" stroked="false">
              <v:imagedata r:id="rId32" o:title=""/>
            </v:shape>
            <v:shape style="position:absolute;left:8099;top:280;width:296;height:1003" coordorigin="8099,280" coordsize="296,1003" path="m8291,283l8316,283,8340,283,8365,283,8389,283,8376,360,8363,437,8349,514,8336,591,8323,668,8309,745,8296,823,8283,900,8269,977,8256,1054,8243,1131,8229,1208,8216,1285,8185,1285,8155,1285,8124,1285,8094,1285,8109,1208,8124,1131,8140,1054,8155,977,8170,900,8185,823,8200,745,8215,668,8231,591,8246,514,8261,437,8276,360,8291,283xe" filled="false" stroked="true" strokeweight=".999328pt" strokecolor="#b1b1b1">
              <v:path arrowok="t"/>
              <v:stroke dashstyle="solid"/>
            </v:shape>
            <v:shape style="position:absolute;left:8302;top:540;width:516;height:743" coordorigin="8302,540" coordsize="516,743" path="m8411,559l8433,559,8455,559,8477,559,8498,559,8495,586,8491,612,8487,639,8484,665,8498,634,8511,608,8547,559,8585,543,8599,545,8639,612,8647,665,8661,632,8697,568,8744,543,8762,547,8800,612,8811,701,8812,760,8809,829,8805,905,8800,981,8795,1057,8790,1133,8786,1209,8781,1285,8753,1285,8726,1285,8699,1285,8671,1285,8678,1202,8685,1120,8692,1037,8699,954,8706,872,8707,849,8701,782,8684,761,8675,763,8646,817,8631,911,8623,985,8616,1060,8608,1135,8601,1210,8594,1285,8566,1285,8539,1285,8511,1285,8484,1285,8494,1205,8503,1125,8513,1045,8523,965,8532,885,8535,863,8536,845,8538,831,8538,820,8537,807,8523,759,8516,759,8476,817,8463,876,8447,989,8437,1063,8426,1137,8416,1211,8406,1285,8379,1285,8352,1285,8324,1285,8297,1285,8309,1204,8322,1124,8335,1043,8347,963,8360,882,8373,801,8386,721,8398,640,8411,559xe" filled="false" stroked="true" strokeweight=".999328pt" strokecolor="#b1b1b1">
              <v:path arrowok="t"/>
              <v:stroke dashstyle="solid"/>
            </v:shape>
            <v:shape style="position:absolute;left:8848;top:540;width:320;height:760" coordorigin="8848,540" coordsize="320,760" path="m8960,794l8937,787,8914,780,8891,773,8867,766,8872,733,8877,704,8894,637,8926,577,8979,546,9005,543,9025,544,9084,566,9121,632,9135,702,9142,784,9144,890,9145,970,9145,1051,9146,1131,9147,1155,9151,1226,9161,1285,9136,1285,9110,1285,9084,1285,9059,1285,9056,1272,9049,1211,9048,1196,9037,1221,9005,1272,8936,1301,8912,1298,8861,1241,8845,1174,8842,1135,8843,1093,8851,1018,8868,957,8914,892,8962,863,8983,851,9037,810,9046,800,9046,777,9035,715,9026,708,9014,708,8968,755,8964,773,8960,794xe" filled="false" stroked="true" strokeweight=".999328pt" strokecolor="#b1b1b1">
              <v:path arrowok="t"/>
              <v:stroke dashstyle="solid"/>
            </v:shape>
            <v:shape style="position:absolute;left:8944;top:928;width:116;height:227" type="#_x0000_t75" stroked="false">
              <v:imagedata r:id="rId33" o:title=""/>
            </v:shape>
            <v:shape style="position:absolute;left:9202;top:540;width:319;height:743" coordorigin="9203,540" coordsize="319,743" path="m9196,559l9218,559,9240,559,9262,559,9284,559,9285,589,9286,618,9288,648,9289,677,9306,615,9334,560,9371,543,9390,547,9437,611,9461,699,9477,824,9483,901,9490,977,9496,1054,9502,1131,9509,1208,9515,1285,9488,1285,9460,1285,9433,1285,9405,1285,9400,1205,9395,1126,9391,1046,9386,966,9381,886,9371,806,9350,761,9339,761,9308,822,9306,891,9307,937,9311,1024,9315,1111,9319,1198,9323,1285,9295,1285,9268,1285,9241,1285,9213,1285,9211,1204,9210,1124,9208,1043,9206,963,9204,882,9202,801,9200,721,9198,640,9196,559xe" filled="false" stroked="true" strokeweight=".999328pt" strokecolor="#b1b1b1">
              <v:path arrowok="t"/>
              <v:stroke dashstyle="solid"/>
            </v:shape>
            <v:shape style="position:absolute;left:9534;top:540;width:334;height:760" coordorigin="9535,540" coordsize="334,760" path="m9851,991l9799,991,9747,991,9696,991,9644,991,9650,1022,9669,1091,9715,1138,9725,1138,9754,1072,9781,1078,9808,1085,9835,1091,9862,1097,9850,1191,9827,1254,9764,1299,9733,1301,9706,1299,9639,1261,9604,1208,9573,1131,9549,1035,9533,924,9528,843,9529,770,9534,705,9561,602,9606,549,9636,543,9661,546,9725,590,9761,648,9793,727,9821,830,9834,891,9846,960,9851,991xe" filled="false" stroked="true" strokeweight=".999328pt" strokecolor="#b1b1b1">
              <v:path arrowok="t"/>
              <v:stroke dashstyle="solid"/>
            </v:shape>
            <v:shape style="position:absolute;left:9623;top:695;width:122;height:171" type="#_x0000_t75" stroked="false">
              <v:imagedata r:id="rId34" o:title=""/>
            </v:shape>
            <w10:wrap type="topAndBottom"/>
          </v:group>
        </w:pict>
      </w:r>
    </w:p>
    <w:p>
      <w:pPr>
        <w:spacing w:after="0"/>
        <w:rPr>
          <w:rFonts w:ascii="Lucida Calligraphy"/>
          <w:sz w:val="16"/>
        </w:rPr>
        <w:sectPr>
          <w:pgSz w:w="11900" w:h="16840"/>
          <w:pgMar w:top="1600" w:bottom="280" w:left="740" w:right="0"/>
        </w:sectPr>
      </w:pPr>
    </w:p>
    <w:p>
      <w:pPr>
        <w:spacing w:before="69"/>
        <w:ind w:left="600" w:right="1338" w:firstLine="0"/>
        <w:jc w:val="center"/>
        <w:rPr>
          <w:b/>
          <w:sz w:val="28"/>
        </w:rPr>
      </w:pPr>
      <w:r>
        <w:rPr>
          <w:b/>
          <w:sz w:val="28"/>
          <w:u w:val="thick"/>
        </w:rPr>
        <w:t>Liste des figures</w:t>
      </w:r>
    </w:p>
    <w:p>
      <w:pPr>
        <w:pStyle w:val="BodyText"/>
        <w:spacing w:before="6"/>
        <w:rPr>
          <w:b/>
          <w:sz w:val="25"/>
        </w:rPr>
      </w:pPr>
    </w:p>
    <w:tbl>
      <w:tblPr>
        <w:tblW w:w="0" w:type="auto"/>
        <w:jc w:val="left"/>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2"/>
        <w:gridCol w:w="5954"/>
        <w:gridCol w:w="1309"/>
      </w:tblGrid>
      <w:tr>
        <w:trPr>
          <w:trHeight w:val="558" w:hRule="atLeast"/>
        </w:trPr>
        <w:tc>
          <w:tcPr>
            <w:tcW w:w="1952" w:type="dxa"/>
          </w:tcPr>
          <w:p>
            <w:pPr>
              <w:pStyle w:val="TableParagraph"/>
              <w:spacing w:before="8"/>
              <w:rPr>
                <w:b/>
                <w:sz w:val="24"/>
              </w:rPr>
            </w:pPr>
            <w:r>
              <w:rPr>
                <w:b/>
                <w:sz w:val="24"/>
              </w:rPr>
              <w:t>N° de figure</w:t>
            </w:r>
          </w:p>
        </w:tc>
        <w:tc>
          <w:tcPr>
            <w:tcW w:w="5954" w:type="dxa"/>
          </w:tcPr>
          <w:p>
            <w:pPr>
              <w:pStyle w:val="TableParagraph"/>
              <w:spacing w:before="8"/>
              <w:ind w:left="1960"/>
              <w:rPr>
                <w:b/>
                <w:sz w:val="24"/>
              </w:rPr>
            </w:pPr>
            <w:r>
              <w:rPr>
                <w:b/>
                <w:sz w:val="24"/>
              </w:rPr>
              <w:t>Titre de figure</w:t>
            </w:r>
          </w:p>
        </w:tc>
        <w:tc>
          <w:tcPr>
            <w:tcW w:w="1309" w:type="dxa"/>
          </w:tcPr>
          <w:p>
            <w:pPr>
              <w:pStyle w:val="TableParagraph"/>
              <w:spacing w:before="8"/>
              <w:ind w:left="101"/>
              <w:rPr>
                <w:b/>
                <w:sz w:val="24"/>
              </w:rPr>
            </w:pPr>
            <w:r>
              <w:rPr>
                <w:b/>
                <w:sz w:val="24"/>
              </w:rPr>
              <w:t>Page</w:t>
            </w:r>
          </w:p>
        </w:tc>
      </w:tr>
      <w:tr>
        <w:trPr>
          <w:trHeight w:val="706" w:hRule="atLeast"/>
        </w:trPr>
        <w:tc>
          <w:tcPr>
            <w:tcW w:w="1952" w:type="dxa"/>
          </w:tcPr>
          <w:p>
            <w:pPr>
              <w:pStyle w:val="TableParagraph"/>
              <w:spacing w:before="4"/>
              <w:rPr>
                <w:sz w:val="24"/>
              </w:rPr>
            </w:pPr>
            <w:r>
              <w:rPr>
                <w:sz w:val="24"/>
              </w:rPr>
              <w:t>Figure N° 01</w:t>
            </w:r>
          </w:p>
        </w:tc>
        <w:tc>
          <w:tcPr>
            <w:tcW w:w="5954" w:type="dxa"/>
          </w:tcPr>
          <w:p>
            <w:pPr>
              <w:pStyle w:val="TableParagraph"/>
              <w:spacing w:before="4"/>
              <w:ind w:left="101" w:right="178"/>
              <w:rPr>
                <w:i/>
                <w:sz w:val="24"/>
              </w:rPr>
            </w:pPr>
            <w:r>
              <w:rPr>
                <w:sz w:val="24"/>
              </w:rPr>
              <w:t>Vue au microscope électronique de la bactérie </w:t>
            </w:r>
            <w:r>
              <w:rPr>
                <w:i/>
                <w:sz w:val="24"/>
              </w:rPr>
              <w:t>Escherichia </w:t>
            </w:r>
            <w:r>
              <w:rPr>
                <w:i/>
                <w:sz w:val="24"/>
              </w:rPr>
              <w:t>coli</w:t>
            </w:r>
          </w:p>
        </w:tc>
        <w:tc>
          <w:tcPr>
            <w:tcW w:w="1309" w:type="dxa"/>
          </w:tcPr>
          <w:p>
            <w:pPr>
              <w:pStyle w:val="TableParagraph"/>
              <w:spacing w:before="4"/>
              <w:ind w:left="0" w:right="656"/>
              <w:jc w:val="right"/>
              <w:rPr>
                <w:sz w:val="24"/>
              </w:rPr>
            </w:pPr>
            <w:r>
              <w:rPr>
                <w:sz w:val="24"/>
              </w:rPr>
              <w:t>08</w:t>
            </w:r>
          </w:p>
        </w:tc>
      </w:tr>
      <w:tr>
        <w:trPr>
          <w:trHeight w:val="830" w:hRule="atLeast"/>
        </w:trPr>
        <w:tc>
          <w:tcPr>
            <w:tcW w:w="1952" w:type="dxa"/>
          </w:tcPr>
          <w:p>
            <w:pPr>
              <w:pStyle w:val="TableParagraph"/>
              <w:spacing w:before="4"/>
              <w:rPr>
                <w:sz w:val="24"/>
              </w:rPr>
            </w:pPr>
            <w:r>
              <w:rPr>
                <w:sz w:val="24"/>
              </w:rPr>
              <w:t>Figure N° 02</w:t>
            </w:r>
          </w:p>
        </w:tc>
        <w:tc>
          <w:tcPr>
            <w:tcW w:w="5954" w:type="dxa"/>
          </w:tcPr>
          <w:p>
            <w:pPr>
              <w:pStyle w:val="TableParagraph"/>
              <w:spacing w:before="4"/>
              <w:ind w:left="101"/>
              <w:rPr>
                <w:sz w:val="24"/>
              </w:rPr>
            </w:pPr>
            <w:r>
              <w:rPr>
                <w:sz w:val="24"/>
              </w:rPr>
              <w:t>Vue au microscope électronique de la bactérie</w:t>
            </w:r>
          </w:p>
          <w:p>
            <w:pPr>
              <w:pStyle w:val="TableParagraph"/>
              <w:ind w:left="101"/>
              <w:rPr>
                <w:i/>
                <w:sz w:val="24"/>
              </w:rPr>
            </w:pPr>
            <w:r>
              <w:rPr>
                <w:i/>
                <w:sz w:val="24"/>
              </w:rPr>
              <w:t>Campylobacter</w:t>
            </w:r>
          </w:p>
        </w:tc>
        <w:tc>
          <w:tcPr>
            <w:tcW w:w="1309" w:type="dxa"/>
          </w:tcPr>
          <w:p>
            <w:pPr>
              <w:pStyle w:val="TableParagraph"/>
              <w:spacing w:before="4"/>
              <w:ind w:left="0" w:right="656"/>
              <w:jc w:val="right"/>
              <w:rPr>
                <w:sz w:val="24"/>
              </w:rPr>
            </w:pPr>
            <w:r>
              <w:rPr>
                <w:sz w:val="24"/>
              </w:rPr>
              <w:t>10</w:t>
            </w:r>
          </w:p>
        </w:tc>
      </w:tr>
      <w:tr>
        <w:trPr>
          <w:trHeight w:val="702" w:hRule="atLeast"/>
        </w:trPr>
        <w:tc>
          <w:tcPr>
            <w:tcW w:w="1952" w:type="dxa"/>
          </w:tcPr>
          <w:p>
            <w:pPr>
              <w:pStyle w:val="TableParagraph"/>
              <w:spacing w:before="3"/>
              <w:rPr>
                <w:sz w:val="24"/>
              </w:rPr>
            </w:pPr>
            <w:r>
              <w:rPr>
                <w:sz w:val="24"/>
              </w:rPr>
              <w:t>Figure N° 03</w:t>
            </w:r>
          </w:p>
        </w:tc>
        <w:tc>
          <w:tcPr>
            <w:tcW w:w="5954" w:type="dxa"/>
          </w:tcPr>
          <w:p>
            <w:pPr>
              <w:pStyle w:val="TableParagraph"/>
              <w:spacing w:before="3"/>
              <w:ind w:left="101"/>
              <w:rPr>
                <w:sz w:val="24"/>
              </w:rPr>
            </w:pPr>
            <w:r>
              <w:rPr>
                <w:sz w:val="24"/>
              </w:rPr>
              <w:t>La situation géographique de la wilaya de Guelma</w:t>
            </w:r>
          </w:p>
        </w:tc>
        <w:tc>
          <w:tcPr>
            <w:tcW w:w="1309" w:type="dxa"/>
          </w:tcPr>
          <w:p>
            <w:pPr>
              <w:pStyle w:val="TableParagraph"/>
              <w:spacing w:before="3"/>
              <w:ind w:left="0" w:right="656"/>
              <w:jc w:val="right"/>
              <w:rPr>
                <w:sz w:val="24"/>
              </w:rPr>
            </w:pPr>
            <w:r>
              <w:rPr>
                <w:sz w:val="24"/>
              </w:rPr>
              <w:t>18</w:t>
            </w:r>
          </w:p>
        </w:tc>
      </w:tr>
      <w:tr>
        <w:trPr>
          <w:trHeight w:val="694" w:hRule="atLeast"/>
        </w:trPr>
        <w:tc>
          <w:tcPr>
            <w:tcW w:w="1952" w:type="dxa"/>
          </w:tcPr>
          <w:p>
            <w:pPr>
              <w:pStyle w:val="TableParagraph"/>
              <w:spacing w:line="275" w:lineRule="exact"/>
              <w:rPr>
                <w:sz w:val="24"/>
              </w:rPr>
            </w:pPr>
            <w:r>
              <w:rPr>
                <w:sz w:val="24"/>
              </w:rPr>
              <w:t>Figure N° 04</w:t>
            </w:r>
          </w:p>
        </w:tc>
        <w:tc>
          <w:tcPr>
            <w:tcW w:w="5954" w:type="dxa"/>
          </w:tcPr>
          <w:p>
            <w:pPr>
              <w:pStyle w:val="TableParagraph"/>
              <w:ind w:left="101"/>
              <w:rPr>
                <w:sz w:val="24"/>
              </w:rPr>
            </w:pPr>
            <w:r>
              <w:rPr>
                <w:sz w:val="24"/>
              </w:rPr>
              <w:t>Évolution des précipitations annuelles en (mm) durant la période (2002-2015)</w:t>
            </w:r>
          </w:p>
        </w:tc>
        <w:tc>
          <w:tcPr>
            <w:tcW w:w="1309" w:type="dxa"/>
          </w:tcPr>
          <w:p>
            <w:pPr>
              <w:pStyle w:val="TableParagraph"/>
              <w:spacing w:line="275" w:lineRule="exact"/>
              <w:ind w:left="0" w:right="596"/>
              <w:jc w:val="right"/>
              <w:rPr>
                <w:sz w:val="24"/>
              </w:rPr>
            </w:pPr>
            <w:r>
              <w:rPr>
                <w:sz w:val="24"/>
              </w:rPr>
              <w:t>20</w:t>
            </w:r>
          </w:p>
        </w:tc>
      </w:tr>
      <w:tr>
        <w:trPr>
          <w:trHeight w:val="693" w:hRule="atLeast"/>
        </w:trPr>
        <w:tc>
          <w:tcPr>
            <w:tcW w:w="1952" w:type="dxa"/>
          </w:tcPr>
          <w:p>
            <w:pPr>
              <w:pStyle w:val="TableParagraph"/>
              <w:spacing w:before="2"/>
              <w:rPr>
                <w:sz w:val="24"/>
              </w:rPr>
            </w:pPr>
            <w:r>
              <w:rPr>
                <w:sz w:val="24"/>
              </w:rPr>
              <w:t>Figure N° 05</w:t>
            </w:r>
          </w:p>
        </w:tc>
        <w:tc>
          <w:tcPr>
            <w:tcW w:w="5954" w:type="dxa"/>
          </w:tcPr>
          <w:p>
            <w:pPr>
              <w:pStyle w:val="TableParagraph"/>
              <w:spacing w:before="2"/>
              <w:ind w:left="101"/>
              <w:rPr>
                <w:sz w:val="24"/>
              </w:rPr>
            </w:pPr>
            <w:r>
              <w:rPr>
                <w:sz w:val="24"/>
              </w:rPr>
              <w:t>Variation des précipitations mensuelles en (mm) durant la période (2002-2015)</w:t>
            </w:r>
          </w:p>
        </w:tc>
        <w:tc>
          <w:tcPr>
            <w:tcW w:w="1309" w:type="dxa"/>
          </w:tcPr>
          <w:p>
            <w:pPr>
              <w:pStyle w:val="TableParagraph"/>
              <w:spacing w:before="2"/>
              <w:ind w:left="0" w:right="596"/>
              <w:jc w:val="right"/>
              <w:rPr>
                <w:sz w:val="24"/>
              </w:rPr>
            </w:pPr>
            <w:r>
              <w:rPr>
                <w:sz w:val="24"/>
              </w:rPr>
              <w:t>21</w:t>
            </w:r>
          </w:p>
        </w:tc>
      </w:tr>
      <w:tr>
        <w:trPr>
          <w:trHeight w:val="714" w:hRule="atLeast"/>
        </w:trPr>
        <w:tc>
          <w:tcPr>
            <w:tcW w:w="1952" w:type="dxa"/>
          </w:tcPr>
          <w:p>
            <w:pPr>
              <w:pStyle w:val="TableParagraph"/>
              <w:spacing w:line="274" w:lineRule="exact"/>
              <w:rPr>
                <w:sz w:val="24"/>
              </w:rPr>
            </w:pPr>
            <w:r>
              <w:rPr>
                <w:sz w:val="24"/>
              </w:rPr>
              <w:t>Figure N° 06</w:t>
            </w:r>
          </w:p>
        </w:tc>
        <w:tc>
          <w:tcPr>
            <w:tcW w:w="5954" w:type="dxa"/>
          </w:tcPr>
          <w:p>
            <w:pPr>
              <w:pStyle w:val="TableParagraph"/>
              <w:ind w:left="101" w:right="602"/>
              <w:rPr>
                <w:sz w:val="24"/>
              </w:rPr>
            </w:pPr>
            <w:r>
              <w:rPr>
                <w:sz w:val="24"/>
              </w:rPr>
              <w:t>Variation des températures annuelles durant la période (2002-2015).</w:t>
            </w:r>
          </w:p>
        </w:tc>
        <w:tc>
          <w:tcPr>
            <w:tcW w:w="1309" w:type="dxa"/>
          </w:tcPr>
          <w:p>
            <w:pPr>
              <w:pStyle w:val="TableParagraph"/>
              <w:spacing w:line="274" w:lineRule="exact"/>
              <w:ind w:left="0" w:right="596"/>
              <w:jc w:val="right"/>
              <w:rPr>
                <w:sz w:val="24"/>
              </w:rPr>
            </w:pPr>
            <w:r>
              <w:rPr>
                <w:sz w:val="24"/>
              </w:rPr>
              <w:t>22</w:t>
            </w:r>
          </w:p>
        </w:tc>
      </w:tr>
      <w:tr>
        <w:trPr>
          <w:trHeight w:val="826" w:hRule="atLeast"/>
        </w:trPr>
        <w:tc>
          <w:tcPr>
            <w:tcW w:w="1952" w:type="dxa"/>
          </w:tcPr>
          <w:p>
            <w:pPr>
              <w:pStyle w:val="TableParagraph"/>
              <w:spacing w:line="273" w:lineRule="exact"/>
              <w:rPr>
                <w:sz w:val="24"/>
              </w:rPr>
            </w:pPr>
            <w:r>
              <w:rPr>
                <w:sz w:val="24"/>
              </w:rPr>
              <w:t>Figure N° 07</w:t>
            </w:r>
          </w:p>
        </w:tc>
        <w:tc>
          <w:tcPr>
            <w:tcW w:w="5954" w:type="dxa"/>
          </w:tcPr>
          <w:p>
            <w:pPr>
              <w:pStyle w:val="TableParagraph"/>
              <w:ind w:left="101" w:right="441"/>
              <w:rPr>
                <w:sz w:val="24"/>
              </w:rPr>
            </w:pPr>
            <w:r>
              <w:rPr>
                <w:sz w:val="24"/>
              </w:rPr>
              <w:t>Variation des températures mensuelles durant la période (2002-2015)</w:t>
            </w:r>
          </w:p>
        </w:tc>
        <w:tc>
          <w:tcPr>
            <w:tcW w:w="1309" w:type="dxa"/>
          </w:tcPr>
          <w:p>
            <w:pPr>
              <w:pStyle w:val="TableParagraph"/>
              <w:spacing w:line="273" w:lineRule="exact"/>
              <w:ind w:left="0" w:right="596"/>
              <w:jc w:val="right"/>
              <w:rPr>
                <w:sz w:val="24"/>
              </w:rPr>
            </w:pPr>
            <w:r>
              <w:rPr>
                <w:sz w:val="24"/>
              </w:rPr>
              <w:t>23</w:t>
            </w:r>
          </w:p>
        </w:tc>
      </w:tr>
      <w:tr>
        <w:trPr>
          <w:trHeight w:val="978" w:hRule="atLeast"/>
        </w:trPr>
        <w:tc>
          <w:tcPr>
            <w:tcW w:w="1952" w:type="dxa"/>
          </w:tcPr>
          <w:p>
            <w:pPr>
              <w:pStyle w:val="TableParagraph"/>
              <w:spacing w:line="273" w:lineRule="exact"/>
              <w:rPr>
                <w:sz w:val="24"/>
              </w:rPr>
            </w:pPr>
            <w:r>
              <w:rPr>
                <w:sz w:val="24"/>
              </w:rPr>
              <w:t>Figure N°08</w:t>
            </w:r>
          </w:p>
        </w:tc>
        <w:tc>
          <w:tcPr>
            <w:tcW w:w="5954" w:type="dxa"/>
          </w:tcPr>
          <w:p>
            <w:pPr>
              <w:pStyle w:val="TableParagraph"/>
              <w:ind w:left="101" w:right="126" w:firstLine="119"/>
              <w:rPr>
                <w:sz w:val="24"/>
              </w:rPr>
            </w:pPr>
            <w:r>
              <w:rPr>
                <w:sz w:val="24"/>
              </w:rPr>
              <w:t>Recherche et dénombrement des germes totaux dans l’eau de source</w:t>
            </w:r>
          </w:p>
        </w:tc>
        <w:tc>
          <w:tcPr>
            <w:tcW w:w="1309" w:type="dxa"/>
          </w:tcPr>
          <w:p>
            <w:pPr>
              <w:pStyle w:val="TableParagraph"/>
              <w:spacing w:line="273" w:lineRule="exact"/>
              <w:ind w:left="0" w:right="596"/>
              <w:jc w:val="right"/>
              <w:rPr>
                <w:sz w:val="24"/>
              </w:rPr>
            </w:pPr>
            <w:r>
              <w:rPr>
                <w:sz w:val="24"/>
              </w:rPr>
              <w:t>39</w:t>
            </w:r>
          </w:p>
        </w:tc>
      </w:tr>
      <w:tr>
        <w:trPr>
          <w:trHeight w:val="1002" w:hRule="atLeast"/>
        </w:trPr>
        <w:tc>
          <w:tcPr>
            <w:tcW w:w="1952" w:type="dxa"/>
          </w:tcPr>
          <w:p>
            <w:pPr>
              <w:pStyle w:val="TableParagraph"/>
              <w:rPr>
                <w:sz w:val="24"/>
              </w:rPr>
            </w:pPr>
            <w:r>
              <w:rPr>
                <w:sz w:val="24"/>
              </w:rPr>
              <w:t>Figure N°09</w:t>
            </w:r>
          </w:p>
        </w:tc>
        <w:tc>
          <w:tcPr>
            <w:tcW w:w="5954" w:type="dxa"/>
          </w:tcPr>
          <w:p>
            <w:pPr>
              <w:pStyle w:val="TableParagraph"/>
              <w:spacing w:line="235" w:lineRule="auto" w:before="4"/>
              <w:ind w:left="101"/>
              <w:rPr>
                <w:sz w:val="24"/>
              </w:rPr>
            </w:pPr>
            <w:r>
              <w:rPr>
                <w:sz w:val="24"/>
              </w:rPr>
              <w:t>Variation mensuelle de la température dans les eaux de sources étudiées</w:t>
            </w:r>
          </w:p>
        </w:tc>
        <w:tc>
          <w:tcPr>
            <w:tcW w:w="1309" w:type="dxa"/>
          </w:tcPr>
          <w:p>
            <w:pPr>
              <w:pStyle w:val="TableParagraph"/>
              <w:ind w:left="0" w:right="596"/>
              <w:jc w:val="right"/>
              <w:rPr>
                <w:sz w:val="24"/>
              </w:rPr>
            </w:pPr>
            <w:r>
              <w:rPr>
                <w:sz w:val="24"/>
              </w:rPr>
              <w:t>43</w:t>
            </w:r>
          </w:p>
        </w:tc>
      </w:tr>
      <w:tr>
        <w:trPr>
          <w:trHeight w:val="541" w:hRule="atLeast"/>
        </w:trPr>
        <w:tc>
          <w:tcPr>
            <w:tcW w:w="1952" w:type="dxa"/>
          </w:tcPr>
          <w:p>
            <w:pPr>
              <w:pStyle w:val="TableParagraph"/>
              <w:spacing w:line="271" w:lineRule="exact"/>
              <w:rPr>
                <w:sz w:val="24"/>
              </w:rPr>
            </w:pPr>
            <w:r>
              <w:rPr>
                <w:sz w:val="24"/>
              </w:rPr>
              <w:t>Figure N°10</w:t>
            </w:r>
          </w:p>
        </w:tc>
        <w:tc>
          <w:tcPr>
            <w:tcW w:w="5954" w:type="dxa"/>
          </w:tcPr>
          <w:p>
            <w:pPr>
              <w:pStyle w:val="TableParagraph"/>
              <w:spacing w:line="275" w:lineRule="exact"/>
              <w:ind w:left="101"/>
              <w:rPr>
                <w:sz w:val="24"/>
              </w:rPr>
            </w:pPr>
            <w:r>
              <w:rPr>
                <w:sz w:val="24"/>
              </w:rPr>
              <w:t>variation mensuelle de pH dans station d’étude</w:t>
            </w:r>
          </w:p>
        </w:tc>
        <w:tc>
          <w:tcPr>
            <w:tcW w:w="1309" w:type="dxa"/>
          </w:tcPr>
          <w:p>
            <w:pPr>
              <w:pStyle w:val="TableParagraph"/>
              <w:spacing w:line="271" w:lineRule="exact"/>
              <w:ind w:left="0" w:right="596"/>
              <w:jc w:val="right"/>
              <w:rPr>
                <w:sz w:val="24"/>
              </w:rPr>
            </w:pPr>
            <w:r>
              <w:rPr>
                <w:sz w:val="24"/>
              </w:rPr>
              <w:t>44</w:t>
            </w:r>
          </w:p>
        </w:tc>
      </w:tr>
      <w:tr>
        <w:trPr>
          <w:trHeight w:val="986" w:hRule="atLeast"/>
        </w:trPr>
        <w:tc>
          <w:tcPr>
            <w:tcW w:w="1952" w:type="dxa"/>
          </w:tcPr>
          <w:p>
            <w:pPr>
              <w:pStyle w:val="TableParagraph"/>
              <w:spacing w:line="275" w:lineRule="exact"/>
              <w:rPr>
                <w:sz w:val="24"/>
              </w:rPr>
            </w:pPr>
            <w:r>
              <w:rPr>
                <w:sz w:val="24"/>
              </w:rPr>
              <w:t>Figure N° 11</w:t>
            </w:r>
          </w:p>
        </w:tc>
        <w:tc>
          <w:tcPr>
            <w:tcW w:w="5954" w:type="dxa"/>
          </w:tcPr>
          <w:p>
            <w:pPr>
              <w:pStyle w:val="TableParagraph"/>
              <w:spacing w:line="357" w:lineRule="auto" w:before="3"/>
              <w:ind w:left="101" w:right="192"/>
              <w:rPr>
                <w:sz w:val="24"/>
              </w:rPr>
            </w:pPr>
            <w:r>
              <w:rPr>
                <w:sz w:val="24"/>
              </w:rPr>
              <w:t>variation mensuelle de La conductivité électrique des eaux de sources</w:t>
            </w:r>
          </w:p>
        </w:tc>
        <w:tc>
          <w:tcPr>
            <w:tcW w:w="1309" w:type="dxa"/>
          </w:tcPr>
          <w:p>
            <w:pPr>
              <w:pStyle w:val="TableParagraph"/>
              <w:spacing w:line="275" w:lineRule="exact"/>
              <w:ind w:left="0" w:right="596"/>
              <w:jc w:val="right"/>
              <w:rPr>
                <w:sz w:val="24"/>
              </w:rPr>
            </w:pPr>
            <w:r>
              <w:rPr>
                <w:sz w:val="24"/>
              </w:rPr>
              <w:t>44</w:t>
            </w:r>
          </w:p>
        </w:tc>
      </w:tr>
      <w:tr>
        <w:trPr>
          <w:trHeight w:val="846" w:hRule="atLeast"/>
        </w:trPr>
        <w:tc>
          <w:tcPr>
            <w:tcW w:w="1952" w:type="dxa"/>
          </w:tcPr>
          <w:p>
            <w:pPr>
              <w:pStyle w:val="TableParagraph"/>
              <w:spacing w:line="275" w:lineRule="exact"/>
              <w:rPr>
                <w:sz w:val="24"/>
              </w:rPr>
            </w:pPr>
            <w:r>
              <w:rPr>
                <w:sz w:val="24"/>
              </w:rPr>
              <w:t>Figure N° 12</w:t>
            </w:r>
          </w:p>
        </w:tc>
        <w:tc>
          <w:tcPr>
            <w:tcW w:w="5954" w:type="dxa"/>
          </w:tcPr>
          <w:p>
            <w:pPr>
              <w:pStyle w:val="TableParagraph"/>
              <w:ind w:left="101" w:right="304"/>
              <w:rPr>
                <w:sz w:val="24"/>
              </w:rPr>
            </w:pPr>
            <w:r>
              <w:rPr>
                <w:sz w:val="24"/>
              </w:rPr>
              <w:t>Evolution de l’oxygène dissous dans les eaux des sources échantillonnées</w:t>
            </w:r>
          </w:p>
        </w:tc>
        <w:tc>
          <w:tcPr>
            <w:tcW w:w="1309" w:type="dxa"/>
          </w:tcPr>
          <w:p>
            <w:pPr>
              <w:pStyle w:val="TableParagraph"/>
              <w:spacing w:line="275" w:lineRule="exact"/>
              <w:ind w:left="0" w:right="596"/>
              <w:jc w:val="right"/>
              <w:rPr>
                <w:sz w:val="24"/>
              </w:rPr>
            </w:pPr>
            <w:r>
              <w:rPr>
                <w:sz w:val="24"/>
              </w:rPr>
              <w:t>45</w:t>
            </w:r>
          </w:p>
        </w:tc>
      </w:tr>
      <w:tr>
        <w:trPr>
          <w:trHeight w:val="842" w:hRule="atLeast"/>
        </w:trPr>
        <w:tc>
          <w:tcPr>
            <w:tcW w:w="1952" w:type="dxa"/>
          </w:tcPr>
          <w:p>
            <w:pPr>
              <w:pStyle w:val="TableParagraph"/>
              <w:spacing w:line="274" w:lineRule="exact"/>
              <w:rPr>
                <w:sz w:val="24"/>
              </w:rPr>
            </w:pPr>
            <w:r>
              <w:rPr>
                <w:sz w:val="24"/>
              </w:rPr>
              <w:t>Figure N° 13</w:t>
            </w:r>
          </w:p>
        </w:tc>
        <w:tc>
          <w:tcPr>
            <w:tcW w:w="5954" w:type="dxa"/>
          </w:tcPr>
          <w:p>
            <w:pPr>
              <w:pStyle w:val="TableParagraph"/>
              <w:spacing w:line="235" w:lineRule="auto" w:before="2"/>
              <w:ind w:left="101"/>
              <w:rPr>
                <w:sz w:val="24"/>
              </w:rPr>
            </w:pPr>
            <w:r>
              <w:rPr>
                <w:sz w:val="24"/>
              </w:rPr>
              <w:t>Evolution de la salinité dans les eaux des sources échantillonnées</w:t>
            </w:r>
          </w:p>
        </w:tc>
        <w:tc>
          <w:tcPr>
            <w:tcW w:w="1309" w:type="dxa"/>
          </w:tcPr>
          <w:p>
            <w:pPr>
              <w:pStyle w:val="TableParagraph"/>
              <w:spacing w:line="274" w:lineRule="exact"/>
              <w:ind w:left="0" w:right="596"/>
              <w:jc w:val="right"/>
              <w:rPr>
                <w:sz w:val="24"/>
              </w:rPr>
            </w:pPr>
            <w:r>
              <w:rPr>
                <w:sz w:val="24"/>
              </w:rPr>
              <w:t>46</w:t>
            </w:r>
          </w:p>
        </w:tc>
      </w:tr>
      <w:tr>
        <w:trPr>
          <w:trHeight w:val="842" w:hRule="atLeast"/>
        </w:trPr>
        <w:tc>
          <w:tcPr>
            <w:tcW w:w="1952" w:type="dxa"/>
          </w:tcPr>
          <w:p>
            <w:pPr>
              <w:pStyle w:val="TableParagraph"/>
              <w:spacing w:line="273" w:lineRule="exact"/>
              <w:rPr>
                <w:sz w:val="24"/>
              </w:rPr>
            </w:pPr>
            <w:r>
              <w:rPr>
                <w:sz w:val="24"/>
              </w:rPr>
              <w:t>Figure N° 14</w:t>
            </w:r>
          </w:p>
        </w:tc>
        <w:tc>
          <w:tcPr>
            <w:tcW w:w="5954" w:type="dxa"/>
          </w:tcPr>
          <w:p>
            <w:pPr>
              <w:pStyle w:val="TableParagraph"/>
              <w:spacing w:line="237" w:lineRule="auto"/>
              <w:ind w:left="101"/>
              <w:rPr>
                <w:sz w:val="24"/>
              </w:rPr>
            </w:pPr>
            <w:r>
              <w:rPr>
                <w:sz w:val="24"/>
              </w:rPr>
              <w:t>Evolution de la TDS dans les eaux des sources échantillonnées</w:t>
            </w:r>
          </w:p>
        </w:tc>
        <w:tc>
          <w:tcPr>
            <w:tcW w:w="1309" w:type="dxa"/>
          </w:tcPr>
          <w:p>
            <w:pPr>
              <w:pStyle w:val="TableParagraph"/>
              <w:spacing w:line="273" w:lineRule="exact"/>
              <w:ind w:left="0" w:right="596"/>
              <w:jc w:val="right"/>
              <w:rPr>
                <w:sz w:val="24"/>
              </w:rPr>
            </w:pPr>
            <w:r>
              <w:rPr>
                <w:sz w:val="24"/>
              </w:rPr>
              <w:t>46</w:t>
            </w:r>
          </w:p>
        </w:tc>
      </w:tr>
      <w:tr>
        <w:trPr>
          <w:trHeight w:val="838" w:hRule="atLeast"/>
        </w:trPr>
        <w:tc>
          <w:tcPr>
            <w:tcW w:w="1952" w:type="dxa"/>
          </w:tcPr>
          <w:p>
            <w:pPr>
              <w:pStyle w:val="TableParagraph"/>
              <w:spacing w:line="269" w:lineRule="exact"/>
              <w:rPr>
                <w:sz w:val="24"/>
              </w:rPr>
            </w:pPr>
            <w:r>
              <w:rPr>
                <w:sz w:val="24"/>
              </w:rPr>
              <w:t>Figure N° 15</w:t>
            </w:r>
          </w:p>
        </w:tc>
        <w:tc>
          <w:tcPr>
            <w:tcW w:w="5954" w:type="dxa"/>
          </w:tcPr>
          <w:p>
            <w:pPr>
              <w:pStyle w:val="TableParagraph"/>
              <w:ind w:left="101"/>
              <w:rPr>
                <w:sz w:val="24"/>
              </w:rPr>
            </w:pPr>
            <w:r>
              <w:rPr>
                <w:sz w:val="24"/>
              </w:rPr>
              <w:t>Variation mensuelle de la turbidité dans l’eau des sources échantillonnées</w:t>
            </w:r>
          </w:p>
        </w:tc>
        <w:tc>
          <w:tcPr>
            <w:tcW w:w="1309" w:type="dxa"/>
          </w:tcPr>
          <w:p>
            <w:pPr>
              <w:pStyle w:val="TableParagraph"/>
              <w:spacing w:line="269" w:lineRule="exact"/>
              <w:ind w:left="0" w:right="596"/>
              <w:jc w:val="right"/>
              <w:rPr>
                <w:sz w:val="24"/>
              </w:rPr>
            </w:pPr>
            <w:r>
              <w:rPr>
                <w:sz w:val="24"/>
              </w:rPr>
              <w:t>47</w:t>
            </w:r>
          </w:p>
        </w:tc>
      </w:tr>
    </w:tbl>
    <w:p>
      <w:pPr>
        <w:spacing w:after="0" w:line="269" w:lineRule="exact"/>
        <w:jc w:val="right"/>
        <w:rPr>
          <w:sz w:val="24"/>
        </w:rPr>
        <w:sectPr>
          <w:pgSz w:w="11900" w:h="16840"/>
          <w:pgMar w:top="1360" w:bottom="280" w:left="740" w:right="0"/>
        </w:sectPr>
      </w:pPr>
    </w:p>
    <w:tbl>
      <w:tblPr>
        <w:tblW w:w="0" w:type="auto"/>
        <w:jc w:val="left"/>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2"/>
        <w:gridCol w:w="5954"/>
        <w:gridCol w:w="1309"/>
      </w:tblGrid>
      <w:tr>
        <w:trPr>
          <w:trHeight w:val="853" w:hRule="atLeast"/>
        </w:trPr>
        <w:tc>
          <w:tcPr>
            <w:tcW w:w="1952" w:type="dxa"/>
          </w:tcPr>
          <w:p>
            <w:pPr>
              <w:pStyle w:val="TableParagraph"/>
              <w:spacing w:before="5"/>
              <w:rPr>
                <w:sz w:val="24"/>
              </w:rPr>
            </w:pPr>
            <w:r>
              <w:rPr>
                <w:sz w:val="24"/>
              </w:rPr>
              <w:t>Figure N°16</w:t>
            </w:r>
          </w:p>
        </w:tc>
        <w:tc>
          <w:tcPr>
            <w:tcW w:w="5954" w:type="dxa"/>
          </w:tcPr>
          <w:p>
            <w:pPr>
              <w:pStyle w:val="TableParagraph"/>
              <w:spacing w:before="5"/>
              <w:ind w:left="101"/>
              <w:rPr>
                <w:sz w:val="24"/>
              </w:rPr>
            </w:pPr>
            <w:r>
              <w:rPr>
                <w:sz w:val="24"/>
              </w:rPr>
              <w:t>la variation de la dureté dans les eaux de source échantillonnées</w:t>
            </w:r>
          </w:p>
        </w:tc>
        <w:tc>
          <w:tcPr>
            <w:tcW w:w="1309" w:type="dxa"/>
          </w:tcPr>
          <w:p>
            <w:pPr>
              <w:pStyle w:val="TableParagraph"/>
              <w:spacing w:before="5"/>
              <w:ind w:left="460"/>
              <w:rPr>
                <w:sz w:val="24"/>
              </w:rPr>
            </w:pPr>
            <w:r>
              <w:rPr>
                <w:sz w:val="24"/>
              </w:rPr>
              <w:t>48</w:t>
            </w:r>
          </w:p>
        </w:tc>
      </w:tr>
      <w:tr>
        <w:trPr>
          <w:trHeight w:val="834" w:hRule="atLeast"/>
        </w:trPr>
        <w:tc>
          <w:tcPr>
            <w:tcW w:w="1952" w:type="dxa"/>
          </w:tcPr>
          <w:p>
            <w:pPr>
              <w:pStyle w:val="TableParagraph"/>
              <w:rPr>
                <w:sz w:val="24"/>
              </w:rPr>
            </w:pPr>
            <w:r>
              <w:rPr>
                <w:sz w:val="24"/>
              </w:rPr>
              <w:t>Figure N°17</w:t>
            </w:r>
          </w:p>
        </w:tc>
        <w:tc>
          <w:tcPr>
            <w:tcW w:w="5954" w:type="dxa"/>
          </w:tcPr>
          <w:p>
            <w:pPr>
              <w:pStyle w:val="TableParagraph"/>
              <w:ind w:left="101" w:right="178"/>
              <w:rPr>
                <w:sz w:val="24"/>
              </w:rPr>
            </w:pPr>
            <w:r>
              <w:rPr>
                <w:sz w:val="24"/>
              </w:rPr>
              <w:t>Variations du TAC dans les eaux de sources échantillonnées</w:t>
            </w:r>
          </w:p>
        </w:tc>
        <w:tc>
          <w:tcPr>
            <w:tcW w:w="1309" w:type="dxa"/>
          </w:tcPr>
          <w:p>
            <w:pPr>
              <w:pStyle w:val="TableParagraph"/>
              <w:ind w:left="460"/>
              <w:rPr>
                <w:sz w:val="24"/>
              </w:rPr>
            </w:pPr>
            <w:r>
              <w:rPr>
                <w:sz w:val="24"/>
              </w:rPr>
              <w:t>48</w:t>
            </w:r>
          </w:p>
        </w:tc>
      </w:tr>
      <w:tr>
        <w:trPr>
          <w:trHeight w:val="830" w:hRule="atLeast"/>
        </w:trPr>
        <w:tc>
          <w:tcPr>
            <w:tcW w:w="1952" w:type="dxa"/>
          </w:tcPr>
          <w:p>
            <w:pPr>
              <w:pStyle w:val="TableParagraph"/>
              <w:rPr>
                <w:sz w:val="24"/>
              </w:rPr>
            </w:pPr>
            <w:r>
              <w:rPr>
                <w:sz w:val="24"/>
              </w:rPr>
              <w:t>Figure N°18</w:t>
            </w:r>
          </w:p>
        </w:tc>
        <w:tc>
          <w:tcPr>
            <w:tcW w:w="5954" w:type="dxa"/>
          </w:tcPr>
          <w:p>
            <w:pPr>
              <w:pStyle w:val="TableParagraph"/>
              <w:ind w:left="101"/>
              <w:rPr>
                <w:sz w:val="24"/>
              </w:rPr>
            </w:pPr>
            <w:r>
              <w:rPr>
                <w:sz w:val="24"/>
              </w:rPr>
              <w:t>Évaluation de la concentration des phosphates dans les sources échantillonnée</w:t>
            </w:r>
          </w:p>
        </w:tc>
        <w:tc>
          <w:tcPr>
            <w:tcW w:w="1309" w:type="dxa"/>
          </w:tcPr>
          <w:p>
            <w:pPr>
              <w:pStyle w:val="TableParagraph"/>
              <w:ind w:left="460"/>
              <w:rPr>
                <w:sz w:val="24"/>
              </w:rPr>
            </w:pPr>
            <w:r>
              <w:rPr>
                <w:sz w:val="24"/>
              </w:rPr>
              <w:t>49</w:t>
            </w:r>
          </w:p>
        </w:tc>
      </w:tr>
      <w:tr>
        <w:trPr>
          <w:trHeight w:val="846" w:hRule="atLeast"/>
        </w:trPr>
        <w:tc>
          <w:tcPr>
            <w:tcW w:w="1952" w:type="dxa"/>
          </w:tcPr>
          <w:p>
            <w:pPr>
              <w:pStyle w:val="TableParagraph"/>
              <w:spacing w:before="3"/>
              <w:rPr>
                <w:sz w:val="24"/>
              </w:rPr>
            </w:pPr>
            <w:r>
              <w:rPr>
                <w:sz w:val="24"/>
              </w:rPr>
              <w:t>Figure N°19</w:t>
            </w:r>
          </w:p>
        </w:tc>
        <w:tc>
          <w:tcPr>
            <w:tcW w:w="5954" w:type="dxa"/>
          </w:tcPr>
          <w:p>
            <w:pPr>
              <w:pStyle w:val="TableParagraph"/>
              <w:spacing w:before="3"/>
              <w:ind w:left="101" w:right="250"/>
              <w:rPr>
                <w:sz w:val="24"/>
              </w:rPr>
            </w:pPr>
            <w:r>
              <w:rPr>
                <w:sz w:val="24"/>
              </w:rPr>
              <w:t>Evolution du taux d’ammonium dans les eaux des sources échantillonnées</w:t>
            </w:r>
          </w:p>
        </w:tc>
        <w:tc>
          <w:tcPr>
            <w:tcW w:w="1309" w:type="dxa"/>
          </w:tcPr>
          <w:p>
            <w:pPr>
              <w:pStyle w:val="TableParagraph"/>
              <w:spacing w:before="3"/>
              <w:ind w:left="460"/>
              <w:rPr>
                <w:sz w:val="24"/>
              </w:rPr>
            </w:pPr>
            <w:r>
              <w:rPr>
                <w:sz w:val="24"/>
              </w:rPr>
              <w:t>50</w:t>
            </w:r>
          </w:p>
        </w:tc>
      </w:tr>
      <w:tr>
        <w:trPr>
          <w:trHeight w:val="842" w:hRule="atLeast"/>
        </w:trPr>
        <w:tc>
          <w:tcPr>
            <w:tcW w:w="1952" w:type="dxa"/>
          </w:tcPr>
          <w:p>
            <w:pPr>
              <w:pStyle w:val="TableParagraph"/>
              <w:spacing w:line="275" w:lineRule="exact"/>
              <w:rPr>
                <w:sz w:val="24"/>
              </w:rPr>
            </w:pPr>
            <w:r>
              <w:rPr>
                <w:sz w:val="24"/>
              </w:rPr>
              <w:t>Figure N°20</w:t>
            </w:r>
          </w:p>
        </w:tc>
        <w:tc>
          <w:tcPr>
            <w:tcW w:w="5954" w:type="dxa"/>
          </w:tcPr>
          <w:p>
            <w:pPr>
              <w:pStyle w:val="TableParagraph"/>
              <w:ind w:left="101"/>
              <w:rPr>
                <w:sz w:val="24"/>
              </w:rPr>
            </w:pPr>
            <w:r>
              <w:rPr>
                <w:sz w:val="24"/>
              </w:rPr>
              <w:t>variation mensuelle du nitrate (dans la période de février à avril 2016)</w:t>
            </w:r>
          </w:p>
        </w:tc>
        <w:tc>
          <w:tcPr>
            <w:tcW w:w="1309" w:type="dxa"/>
          </w:tcPr>
          <w:p>
            <w:pPr>
              <w:pStyle w:val="TableParagraph"/>
              <w:spacing w:line="275" w:lineRule="exact"/>
              <w:ind w:left="460"/>
              <w:rPr>
                <w:sz w:val="24"/>
              </w:rPr>
            </w:pPr>
            <w:r>
              <w:rPr>
                <w:sz w:val="24"/>
              </w:rPr>
              <w:t>50</w:t>
            </w:r>
          </w:p>
        </w:tc>
      </w:tr>
      <w:tr>
        <w:trPr>
          <w:trHeight w:val="841" w:hRule="atLeast"/>
        </w:trPr>
        <w:tc>
          <w:tcPr>
            <w:tcW w:w="1952" w:type="dxa"/>
          </w:tcPr>
          <w:p>
            <w:pPr>
              <w:pStyle w:val="TableParagraph"/>
              <w:spacing w:line="274" w:lineRule="exact"/>
              <w:rPr>
                <w:sz w:val="24"/>
              </w:rPr>
            </w:pPr>
            <w:r>
              <w:rPr>
                <w:sz w:val="24"/>
              </w:rPr>
              <w:t>Figure N° 21</w:t>
            </w:r>
          </w:p>
        </w:tc>
        <w:tc>
          <w:tcPr>
            <w:tcW w:w="5954" w:type="dxa"/>
          </w:tcPr>
          <w:p>
            <w:pPr>
              <w:pStyle w:val="TableParagraph"/>
              <w:ind w:left="101"/>
              <w:rPr>
                <w:sz w:val="24"/>
              </w:rPr>
            </w:pPr>
            <w:r>
              <w:rPr>
                <w:sz w:val="24"/>
              </w:rPr>
              <w:t>variation mensuelle du nitrate (dans la période de février à avril 2016)</w:t>
            </w:r>
          </w:p>
        </w:tc>
        <w:tc>
          <w:tcPr>
            <w:tcW w:w="1309" w:type="dxa"/>
          </w:tcPr>
          <w:p>
            <w:pPr>
              <w:pStyle w:val="TableParagraph"/>
              <w:spacing w:line="274" w:lineRule="exact"/>
              <w:ind w:left="460"/>
              <w:rPr>
                <w:sz w:val="24"/>
              </w:rPr>
            </w:pPr>
            <w:r>
              <w:rPr>
                <w:sz w:val="24"/>
              </w:rPr>
              <w:t>51</w:t>
            </w:r>
          </w:p>
        </w:tc>
      </w:tr>
      <w:tr>
        <w:trPr>
          <w:trHeight w:val="838" w:hRule="atLeast"/>
        </w:trPr>
        <w:tc>
          <w:tcPr>
            <w:tcW w:w="1952" w:type="dxa"/>
          </w:tcPr>
          <w:p>
            <w:pPr>
              <w:pStyle w:val="TableParagraph"/>
              <w:spacing w:line="274" w:lineRule="exact"/>
              <w:rPr>
                <w:sz w:val="24"/>
              </w:rPr>
            </w:pPr>
            <w:r>
              <w:rPr>
                <w:sz w:val="24"/>
              </w:rPr>
              <w:t>Figure N° 22</w:t>
            </w:r>
          </w:p>
        </w:tc>
        <w:tc>
          <w:tcPr>
            <w:tcW w:w="5954" w:type="dxa"/>
          </w:tcPr>
          <w:p>
            <w:pPr>
              <w:pStyle w:val="TableParagraph"/>
              <w:ind w:left="101"/>
              <w:rPr>
                <w:sz w:val="24"/>
              </w:rPr>
            </w:pPr>
            <w:r>
              <w:rPr>
                <w:sz w:val="24"/>
              </w:rPr>
              <w:t>Variation mensuelle du résidu sec de l’eau des sources échantillonnées</w:t>
            </w:r>
          </w:p>
        </w:tc>
        <w:tc>
          <w:tcPr>
            <w:tcW w:w="1309" w:type="dxa"/>
          </w:tcPr>
          <w:p>
            <w:pPr>
              <w:pStyle w:val="TableParagraph"/>
              <w:spacing w:line="274" w:lineRule="exact"/>
              <w:ind w:left="460"/>
              <w:rPr>
                <w:sz w:val="24"/>
              </w:rPr>
            </w:pPr>
            <w:r>
              <w:rPr>
                <w:sz w:val="24"/>
              </w:rPr>
              <w:t>52</w:t>
            </w:r>
          </w:p>
        </w:tc>
      </w:tr>
      <w:tr>
        <w:trPr>
          <w:trHeight w:val="821" w:hRule="atLeast"/>
        </w:trPr>
        <w:tc>
          <w:tcPr>
            <w:tcW w:w="1952" w:type="dxa"/>
          </w:tcPr>
          <w:p>
            <w:pPr>
              <w:pStyle w:val="TableParagraph"/>
              <w:spacing w:line="273" w:lineRule="exact"/>
              <w:rPr>
                <w:sz w:val="24"/>
              </w:rPr>
            </w:pPr>
            <w:r>
              <w:rPr>
                <w:sz w:val="24"/>
              </w:rPr>
              <w:t>Figure N° 23</w:t>
            </w:r>
          </w:p>
        </w:tc>
        <w:tc>
          <w:tcPr>
            <w:tcW w:w="5954" w:type="dxa"/>
          </w:tcPr>
          <w:p>
            <w:pPr>
              <w:pStyle w:val="TableParagraph"/>
              <w:ind w:left="101"/>
              <w:rPr>
                <w:sz w:val="24"/>
              </w:rPr>
            </w:pPr>
            <w:r>
              <w:rPr>
                <w:sz w:val="24"/>
              </w:rPr>
              <w:t>Evolution des chlorures dans les eaux des sources échantillonnées</w:t>
            </w:r>
          </w:p>
        </w:tc>
        <w:tc>
          <w:tcPr>
            <w:tcW w:w="1309" w:type="dxa"/>
          </w:tcPr>
          <w:p>
            <w:pPr>
              <w:pStyle w:val="TableParagraph"/>
              <w:spacing w:line="273" w:lineRule="exact"/>
              <w:ind w:left="460"/>
              <w:rPr>
                <w:sz w:val="24"/>
              </w:rPr>
            </w:pPr>
            <w:r>
              <w:rPr>
                <w:sz w:val="24"/>
              </w:rPr>
              <w:t>52</w:t>
            </w:r>
          </w:p>
        </w:tc>
      </w:tr>
      <w:tr>
        <w:trPr>
          <w:trHeight w:val="846" w:hRule="atLeast"/>
        </w:trPr>
        <w:tc>
          <w:tcPr>
            <w:tcW w:w="1952" w:type="dxa"/>
          </w:tcPr>
          <w:p>
            <w:pPr>
              <w:pStyle w:val="TableParagraph"/>
              <w:spacing w:line="273" w:lineRule="exact"/>
              <w:rPr>
                <w:sz w:val="24"/>
              </w:rPr>
            </w:pPr>
            <w:r>
              <w:rPr>
                <w:sz w:val="24"/>
              </w:rPr>
              <w:t>Figure N° 24</w:t>
            </w:r>
          </w:p>
        </w:tc>
        <w:tc>
          <w:tcPr>
            <w:tcW w:w="5954" w:type="dxa"/>
          </w:tcPr>
          <w:p>
            <w:pPr>
              <w:pStyle w:val="TableParagraph"/>
              <w:ind w:left="101"/>
              <w:rPr>
                <w:sz w:val="24"/>
              </w:rPr>
            </w:pPr>
            <w:r>
              <w:rPr>
                <w:sz w:val="24"/>
              </w:rPr>
              <w:t>Variation mensuelle des sulfates dans l’eau des sources échantillonnées</w:t>
            </w:r>
          </w:p>
        </w:tc>
        <w:tc>
          <w:tcPr>
            <w:tcW w:w="1309" w:type="dxa"/>
          </w:tcPr>
          <w:p>
            <w:pPr>
              <w:pStyle w:val="TableParagraph"/>
              <w:spacing w:line="273" w:lineRule="exact"/>
              <w:ind w:left="460"/>
              <w:rPr>
                <w:sz w:val="24"/>
              </w:rPr>
            </w:pPr>
            <w:r>
              <w:rPr>
                <w:sz w:val="24"/>
              </w:rPr>
              <w:t>53</w:t>
            </w:r>
          </w:p>
        </w:tc>
      </w:tr>
      <w:tr>
        <w:trPr>
          <w:trHeight w:val="702" w:hRule="atLeast"/>
        </w:trPr>
        <w:tc>
          <w:tcPr>
            <w:tcW w:w="1952" w:type="dxa"/>
          </w:tcPr>
          <w:p>
            <w:pPr>
              <w:pStyle w:val="TableParagraph"/>
              <w:rPr>
                <w:sz w:val="24"/>
              </w:rPr>
            </w:pPr>
            <w:r>
              <w:rPr>
                <w:sz w:val="24"/>
              </w:rPr>
              <w:t>Figure N° 25</w:t>
            </w:r>
          </w:p>
        </w:tc>
        <w:tc>
          <w:tcPr>
            <w:tcW w:w="5954" w:type="dxa"/>
          </w:tcPr>
          <w:p>
            <w:pPr>
              <w:pStyle w:val="TableParagraph"/>
              <w:ind w:left="101"/>
              <w:rPr>
                <w:sz w:val="24"/>
              </w:rPr>
            </w:pPr>
            <w:r>
              <w:rPr>
                <w:sz w:val="24"/>
              </w:rPr>
              <w:t>Variations du Fer dans les eaux de sources échantillonnées</w:t>
            </w:r>
          </w:p>
        </w:tc>
        <w:tc>
          <w:tcPr>
            <w:tcW w:w="1309" w:type="dxa"/>
          </w:tcPr>
          <w:p>
            <w:pPr>
              <w:pStyle w:val="TableParagraph"/>
              <w:ind w:left="0" w:right="536"/>
              <w:jc w:val="right"/>
              <w:rPr>
                <w:sz w:val="24"/>
              </w:rPr>
            </w:pPr>
            <w:r>
              <w:rPr>
                <w:sz w:val="24"/>
              </w:rPr>
              <w:t>54</w:t>
            </w:r>
          </w:p>
        </w:tc>
      </w:tr>
      <w:tr>
        <w:trPr>
          <w:trHeight w:val="845" w:hRule="atLeast"/>
        </w:trPr>
        <w:tc>
          <w:tcPr>
            <w:tcW w:w="1952" w:type="dxa"/>
          </w:tcPr>
          <w:p>
            <w:pPr>
              <w:pStyle w:val="TableParagraph"/>
              <w:spacing w:line="276" w:lineRule="exact"/>
              <w:rPr>
                <w:sz w:val="24"/>
              </w:rPr>
            </w:pPr>
            <w:r>
              <w:rPr>
                <w:sz w:val="24"/>
              </w:rPr>
              <w:t>Figure N° 26</w:t>
            </w:r>
          </w:p>
        </w:tc>
        <w:tc>
          <w:tcPr>
            <w:tcW w:w="5954" w:type="dxa"/>
          </w:tcPr>
          <w:p>
            <w:pPr>
              <w:pStyle w:val="TableParagraph"/>
              <w:ind w:left="101"/>
              <w:rPr>
                <w:sz w:val="24"/>
              </w:rPr>
            </w:pPr>
            <w:r>
              <w:rPr>
                <w:sz w:val="24"/>
              </w:rPr>
              <w:t>Évolution temporelle de la flore mésophile des eaux de sources</w:t>
            </w:r>
          </w:p>
        </w:tc>
        <w:tc>
          <w:tcPr>
            <w:tcW w:w="1309" w:type="dxa"/>
          </w:tcPr>
          <w:p>
            <w:pPr>
              <w:pStyle w:val="TableParagraph"/>
              <w:spacing w:line="276" w:lineRule="exact"/>
              <w:ind w:left="0" w:right="536"/>
              <w:jc w:val="right"/>
              <w:rPr>
                <w:sz w:val="24"/>
              </w:rPr>
            </w:pPr>
            <w:r>
              <w:rPr>
                <w:sz w:val="24"/>
              </w:rPr>
              <w:t>55</w:t>
            </w:r>
          </w:p>
        </w:tc>
      </w:tr>
      <w:tr>
        <w:trPr>
          <w:trHeight w:val="826" w:hRule="atLeast"/>
        </w:trPr>
        <w:tc>
          <w:tcPr>
            <w:tcW w:w="1952" w:type="dxa"/>
          </w:tcPr>
          <w:p>
            <w:pPr>
              <w:pStyle w:val="TableParagraph"/>
              <w:spacing w:line="271" w:lineRule="exact"/>
              <w:rPr>
                <w:sz w:val="24"/>
              </w:rPr>
            </w:pPr>
            <w:r>
              <w:rPr>
                <w:sz w:val="24"/>
              </w:rPr>
              <w:t>Figure N°27</w:t>
            </w:r>
          </w:p>
        </w:tc>
        <w:tc>
          <w:tcPr>
            <w:tcW w:w="5954" w:type="dxa"/>
          </w:tcPr>
          <w:p>
            <w:pPr>
              <w:pStyle w:val="TableParagraph"/>
              <w:ind w:left="101" w:right="577"/>
              <w:rPr>
                <w:sz w:val="24"/>
              </w:rPr>
            </w:pPr>
            <w:r>
              <w:rPr>
                <w:sz w:val="24"/>
              </w:rPr>
              <w:t>Évolution temporelle de coliformes totaux des eaux de sources</w:t>
            </w:r>
          </w:p>
        </w:tc>
        <w:tc>
          <w:tcPr>
            <w:tcW w:w="1309" w:type="dxa"/>
          </w:tcPr>
          <w:p>
            <w:pPr>
              <w:pStyle w:val="TableParagraph"/>
              <w:spacing w:line="271" w:lineRule="exact"/>
              <w:ind w:left="0" w:right="536"/>
              <w:jc w:val="right"/>
              <w:rPr>
                <w:sz w:val="24"/>
              </w:rPr>
            </w:pPr>
            <w:r>
              <w:rPr>
                <w:sz w:val="24"/>
              </w:rPr>
              <w:t>56</w:t>
            </w:r>
          </w:p>
        </w:tc>
      </w:tr>
      <w:tr>
        <w:trPr>
          <w:trHeight w:val="850" w:hRule="atLeast"/>
        </w:trPr>
        <w:tc>
          <w:tcPr>
            <w:tcW w:w="1952" w:type="dxa"/>
          </w:tcPr>
          <w:p>
            <w:pPr>
              <w:pStyle w:val="TableParagraph"/>
              <w:spacing w:line="270" w:lineRule="exact"/>
              <w:rPr>
                <w:sz w:val="24"/>
              </w:rPr>
            </w:pPr>
            <w:r>
              <w:rPr>
                <w:sz w:val="24"/>
              </w:rPr>
              <w:t>Figure N°28</w:t>
            </w:r>
          </w:p>
        </w:tc>
        <w:tc>
          <w:tcPr>
            <w:tcW w:w="5954" w:type="dxa"/>
          </w:tcPr>
          <w:p>
            <w:pPr>
              <w:pStyle w:val="TableParagraph"/>
              <w:ind w:left="101"/>
              <w:rPr>
                <w:sz w:val="24"/>
              </w:rPr>
            </w:pPr>
            <w:r>
              <w:rPr>
                <w:sz w:val="24"/>
              </w:rPr>
              <w:t>Évolution temporelle de coliformes fécaux des eaux de sources</w:t>
            </w:r>
          </w:p>
        </w:tc>
        <w:tc>
          <w:tcPr>
            <w:tcW w:w="1309" w:type="dxa"/>
          </w:tcPr>
          <w:p>
            <w:pPr>
              <w:pStyle w:val="TableParagraph"/>
              <w:spacing w:line="270" w:lineRule="exact"/>
              <w:ind w:left="0" w:right="536"/>
              <w:jc w:val="right"/>
              <w:rPr>
                <w:sz w:val="24"/>
              </w:rPr>
            </w:pPr>
            <w:r>
              <w:rPr>
                <w:sz w:val="24"/>
              </w:rPr>
              <w:t>57</w:t>
            </w:r>
          </w:p>
        </w:tc>
      </w:tr>
      <w:tr>
        <w:trPr>
          <w:trHeight w:val="837" w:hRule="atLeast"/>
        </w:trPr>
        <w:tc>
          <w:tcPr>
            <w:tcW w:w="1952" w:type="dxa"/>
          </w:tcPr>
          <w:p>
            <w:pPr>
              <w:pStyle w:val="TableParagraph"/>
              <w:spacing w:line="274" w:lineRule="exact"/>
              <w:rPr>
                <w:sz w:val="24"/>
              </w:rPr>
            </w:pPr>
            <w:r>
              <w:rPr>
                <w:sz w:val="24"/>
              </w:rPr>
              <w:t>Figure N°29</w:t>
            </w:r>
          </w:p>
        </w:tc>
        <w:tc>
          <w:tcPr>
            <w:tcW w:w="5954" w:type="dxa"/>
          </w:tcPr>
          <w:p>
            <w:pPr>
              <w:pStyle w:val="TableParagraph"/>
              <w:spacing w:line="235" w:lineRule="auto" w:before="2"/>
              <w:ind w:left="101" w:right="204"/>
              <w:rPr>
                <w:sz w:val="24"/>
              </w:rPr>
            </w:pPr>
            <w:r>
              <w:rPr>
                <w:sz w:val="24"/>
              </w:rPr>
              <w:t>Évolution temporelle de Streptocoques fécaux des eaux de sources</w:t>
            </w:r>
          </w:p>
        </w:tc>
        <w:tc>
          <w:tcPr>
            <w:tcW w:w="1309" w:type="dxa"/>
          </w:tcPr>
          <w:p>
            <w:pPr>
              <w:pStyle w:val="TableParagraph"/>
              <w:spacing w:line="274" w:lineRule="exact"/>
              <w:ind w:left="0" w:right="536"/>
              <w:jc w:val="right"/>
              <w:rPr>
                <w:sz w:val="24"/>
              </w:rPr>
            </w:pPr>
            <w:r>
              <w:rPr>
                <w:sz w:val="24"/>
              </w:rPr>
              <w:t>58</w:t>
            </w:r>
          </w:p>
        </w:tc>
      </w:tr>
    </w:tbl>
    <w:p>
      <w:pPr>
        <w:spacing w:after="0" w:line="274" w:lineRule="exact"/>
        <w:jc w:val="right"/>
        <w:rPr>
          <w:sz w:val="24"/>
        </w:rPr>
        <w:sectPr>
          <w:pgSz w:w="11900" w:h="16840"/>
          <w:pgMar w:top="1420" w:bottom="280" w:left="740" w:right="0"/>
        </w:sectPr>
      </w:pPr>
    </w:p>
    <w:p>
      <w:pPr>
        <w:spacing w:before="69"/>
        <w:ind w:left="448" w:right="1338" w:firstLine="0"/>
        <w:jc w:val="center"/>
        <w:rPr>
          <w:b/>
          <w:sz w:val="28"/>
        </w:rPr>
      </w:pPr>
      <w:r>
        <w:rPr>
          <w:b/>
          <w:sz w:val="28"/>
        </w:rPr>
        <w:t>Liste des photos</w:t>
      </w:r>
    </w:p>
    <w:p>
      <w:pPr>
        <w:pStyle w:val="BodyText"/>
        <w:spacing w:before="6"/>
        <w:rPr>
          <w:b/>
          <w:sz w:val="25"/>
        </w:rPr>
      </w:pPr>
    </w:p>
    <w:tbl>
      <w:tblPr>
        <w:tblW w:w="0" w:type="auto"/>
        <w:jc w:val="left"/>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8"/>
        <w:gridCol w:w="5249"/>
        <w:gridCol w:w="2080"/>
      </w:tblGrid>
      <w:tr>
        <w:trPr>
          <w:trHeight w:val="734" w:hRule="atLeast"/>
        </w:trPr>
        <w:tc>
          <w:tcPr>
            <w:tcW w:w="1808" w:type="dxa"/>
          </w:tcPr>
          <w:p>
            <w:pPr>
              <w:pStyle w:val="TableParagraph"/>
              <w:spacing w:before="8"/>
              <w:ind w:left="293"/>
              <w:rPr>
                <w:b/>
                <w:sz w:val="24"/>
              </w:rPr>
            </w:pPr>
            <w:r>
              <w:rPr>
                <w:b/>
                <w:sz w:val="24"/>
              </w:rPr>
              <w:t>N° de photo</w:t>
            </w:r>
          </w:p>
        </w:tc>
        <w:tc>
          <w:tcPr>
            <w:tcW w:w="5249" w:type="dxa"/>
          </w:tcPr>
          <w:p>
            <w:pPr>
              <w:pStyle w:val="TableParagraph"/>
              <w:spacing w:before="8"/>
              <w:ind w:left="178" w:right="173"/>
              <w:jc w:val="center"/>
              <w:rPr>
                <w:b/>
                <w:sz w:val="24"/>
              </w:rPr>
            </w:pPr>
            <w:r>
              <w:rPr>
                <w:b/>
                <w:sz w:val="24"/>
              </w:rPr>
              <w:t>Titre de photo</w:t>
            </w:r>
          </w:p>
        </w:tc>
        <w:tc>
          <w:tcPr>
            <w:tcW w:w="2080" w:type="dxa"/>
          </w:tcPr>
          <w:p>
            <w:pPr>
              <w:pStyle w:val="TableParagraph"/>
              <w:spacing w:before="8"/>
              <w:ind w:left="770" w:right="766"/>
              <w:jc w:val="center"/>
              <w:rPr>
                <w:b/>
                <w:sz w:val="24"/>
              </w:rPr>
            </w:pPr>
            <w:r>
              <w:rPr>
                <w:b/>
                <w:sz w:val="24"/>
              </w:rPr>
              <w:t>Page</w:t>
            </w:r>
          </w:p>
        </w:tc>
      </w:tr>
      <w:tr>
        <w:trPr>
          <w:trHeight w:val="734" w:hRule="atLeast"/>
        </w:trPr>
        <w:tc>
          <w:tcPr>
            <w:tcW w:w="1808" w:type="dxa"/>
          </w:tcPr>
          <w:p>
            <w:pPr>
              <w:pStyle w:val="TableParagraph"/>
              <w:rPr>
                <w:sz w:val="24"/>
              </w:rPr>
            </w:pPr>
            <w:r>
              <w:rPr>
                <w:sz w:val="24"/>
              </w:rPr>
              <w:t>Photo N° 01</w:t>
            </w:r>
          </w:p>
        </w:tc>
        <w:tc>
          <w:tcPr>
            <w:tcW w:w="5249" w:type="dxa"/>
          </w:tcPr>
          <w:p>
            <w:pPr>
              <w:pStyle w:val="TableParagraph"/>
              <w:ind w:left="180" w:right="173"/>
              <w:jc w:val="center"/>
              <w:rPr>
                <w:sz w:val="24"/>
              </w:rPr>
            </w:pPr>
            <w:r>
              <w:rPr>
                <w:color w:val="1B1B1B"/>
                <w:sz w:val="24"/>
              </w:rPr>
              <w:t>Photos représentant </w:t>
            </w:r>
            <w:r>
              <w:rPr>
                <w:sz w:val="24"/>
              </w:rPr>
              <w:t>les 06 sources échantillonnées</w:t>
            </w:r>
          </w:p>
        </w:tc>
        <w:tc>
          <w:tcPr>
            <w:tcW w:w="2080" w:type="dxa"/>
          </w:tcPr>
          <w:p>
            <w:pPr>
              <w:pStyle w:val="TableParagraph"/>
              <w:ind w:left="765" w:right="766"/>
              <w:jc w:val="center"/>
              <w:rPr>
                <w:sz w:val="24"/>
              </w:rPr>
            </w:pPr>
            <w:r>
              <w:rPr>
                <w:sz w:val="24"/>
              </w:rPr>
              <w:t>25</w:t>
            </w:r>
          </w:p>
        </w:tc>
      </w:tr>
      <w:tr>
        <w:trPr>
          <w:trHeight w:val="694" w:hRule="atLeast"/>
        </w:trPr>
        <w:tc>
          <w:tcPr>
            <w:tcW w:w="1808" w:type="dxa"/>
          </w:tcPr>
          <w:p>
            <w:pPr>
              <w:pStyle w:val="TableParagraph"/>
              <w:spacing w:line="276" w:lineRule="exact"/>
              <w:rPr>
                <w:sz w:val="24"/>
              </w:rPr>
            </w:pPr>
            <w:r>
              <w:rPr>
                <w:sz w:val="24"/>
              </w:rPr>
              <w:t>Photo N° 02</w:t>
            </w:r>
          </w:p>
        </w:tc>
        <w:tc>
          <w:tcPr>
            <w:tcW w:w="5249" w:type="dxa"/>
          </w:tcPr>
          <w:p>
            <w:pPr>
              <w:pStyle w:val="TableParagraph"/>
              <w:ind w:left="840" w:right="288" w:hanging="512"/>
              <w:rPr>
                <w:sz w:val="24"/>
              </w:rPr>
            </w:pPr>
            <w:r>
              <w:rPr>
                <w:sz w:val="24"/>
              </w:rPr>
              <w:t>Un échantillon d’eau prélevée pour les analyses physico-chimique et bactériologique.</w:t>
            </w:r>
          </w:p>
        </w:tc>
        <w:tc>
          <w:tcPr>
            <w:tcW w:w="2080" w:type="dxa"/>
          </w:tcPr>
          <w:p>
            <w:pPr>
              <w:pStyle w:val="TableParagraph"/>
              <w:spacing w:line="276" w:lineRule="exact"/>
              <w:ind w:left="765" w:right="766"/>
              <w:jc w:val="center"/>
              <w:rPr>
                <w:sz w:val="24"/>
              </w:rPr>
            </w:pPr>
            <w:r>
              <w:rPr>
                <w:sz w:val="24"/>
              </w:rPr>
              <w:t>26</w:t>
            </w:r>
          </w:p>
        </w:tc>
      </w:tr>
      <w:tr>
        <w:trPr>
          <w:trHeight w:val="734" w:hRule="atLeast"/>
        </w:trPr>
        <w:tc>
          <w:tcPr>
            <w:tcW w:w="1808" w:type="dxa"/>
          </w:tcPr>
          <w:p>
            <w:pPr>
              <w:pStyle w:val="TableParagraph"/>
              <w:spacing w:line="275" w:lineRule="exact"/>
              <w:rPr>
                <w:sz w:val="24"/>
              </w:rPr>
            </w:pPr>
            <w:r>
              <w:rPr>
                <w:sz w:val="24"/>
              </w:rPr>
              <w:t>Photo N° 03</w:t>
            </w:r>
          </w:p>
        </w:tc>
        <w:tc>
          <w:tcPr>
            <w:tcW w:w="5249" w:type="dxa"/>
          </w:tcPr>
          <w:p>
            <w:pPr>
              <w:pStyle w:val="TableParagraph"/>
              <w:spacing w:line="275" w:lineRule="exact"/>
              <w:ind w:left="174" w:right="173"/>
              <w:jc w:val="center"/>
              <w:rPr>
                <w:sz w:val="24"/>
              </w:rPr>
            </w:pPr>
            <w:r>
              <w:rPr>
                <w:sz w:val="24"/>
              </w:rPr>
              <w:t>multi paramètre</w:t>
            </w:r>
          </w:p>
        </w:tc>
        <w:tc>
          <w:tcPr>
            <w:tcW w:w="2080" w:type="dxa"/>
          </w:tcPr>
          <w:p>
            <w:pPr>
              <w:pStyle w:val="TableParagraph"/>
              <w:spacing w:line="275" w:lineRule="exact"/>
              <w:ind w:left="765" w:right="766"/>
              <w:jc w:val="center"/>
              <w:rPr>
                <w:sz w:val="24"/>
              </w:rPr>
            </w:pPr>
            <w:r>
              <w:rPr>
                <w:sz w:val="24"/>
              </w:rPr>
              <w:t>27</w:t>
            </w:r>
          </w:p>
        </w:tc>
      </w:tr>
      <w:tr>
        <w:trPr>
          <w:trHeight w:val="734" w:hRule="atLeast"/>
        </w:trPr>
        <w:tc>
          <w:tcPr>
            <w:tcW w:w="1808" w:type="dxa"/>
          </w:tcPr>
          <w:p>
            <w:pPr>
              <w:pStyle w:val="TableParagraph"/>
              <w:spacing w:line="275" w:lineRule="exact"/>
              <w:rPr>
                <w:sz w:val="24"/>
              </w:rPr>
            </w:pPr>
            <w:r>
              <w:rPr>
                <w:sz w:val="24"/>
              </w:rPr>
              <w:t>Photo N° 04</w:t>
            </w:r>
          </w:p>
        </w:tc>
        <w:tc>
          <w:tcPr>
            <w:tcW w:w="5249" w:type="dxa"/>
          </w:tcPr>
          <w:p>
            <w:pPr>
              <w:pStyle w:val="TableParagraph"/>
              <w:spacing w:line="275" w:lineRule="exact"/>
              <w:ind w:left="175" w:right="173"/>
              <w:jc w:val="center"/>
              <w:rPr>
                <w:sz w:val="24"/>
              </w:rPr>
            </w:pPr>
            <w:r>
              <w:rPr>
                <w:sz w:val="24"/>
              </w:rPr>
              <w:t>2100 N Turbidimètre</w:t>
            </w:r>
          </w:p>
        </w:tc>
        <w:tc>
          <w:tcPr>
            <w:tcW w:w="2080" w:type="dxa"/>
          </w:tcPr>
          <w:p>
            <w:pPr>
              <w:pStyle w:val="TableParagraph"/>
              <w:spacing w:line="275" w:lineRule="exact"/>
              <w:ind w:left="765" w:right="766"/>
              <w:jc w:val="center"/>
              <w:rPr>
                <w:sz w:val="24"/>
              </w:rPr>
            </w:pPr>
            <w:r>
              <w:rPr>
                <w:sz w:val="24"/>
              </w:rPr>
              <w:t>28</w:t>
            </w:r>
          </w:p>
        </w:tc>
      </w:tr>
      <w:tr>
        <w:trPr>
          <w:trHeight w:val="733" w:hRule="atLeast"/>
        </w:trPr>
        <w:tc>
          <w:tcPr>
            <w:tcW w:w="1808" w:type="dxa"/>
          </w:tcPr>
          <w:p>
            <w:pPr>
              <w:pStyle w:val="TableParagraph"/>
              <w:spacing w:line="274" w:lineRule="exact"/>
              <w:rPr>
                <w:sz w:val="24"/>
              </w:rPr>
            </w:pPr>
            <w:r>
              <w:rPr>
                <w:sz w:val="24"/>
              </w:rPr>
              <w:t>Photo N° 05</w:t>
            </w:r>
          </w:p>
        </w:tc>
        <w:tc>
          <w:tcPr>
            <w:tcW w:w="5249" w:type="dxa"/>
          </w:tcPr>
          <w:p>
            <w:pPr>
              <w:pStyle w:val="TableParagraph"/>
              <w:spacing w:line="189" w:lineRule="exact"/>
              <w:ind w:left="0" w:right="801"/>
              <w:jc w:val="right"/>
              <w:rPr>
                <w:sz w:val="24"/>
              </w:rPr>
            </w:pPr>
            <w:r>
              <w:rPr>
                <w:sz w:val="24"/>
              </w:rPr>
              <w:t>Détermination des phosphates (PO</w:t>
            </w:r>
            <w:r>
              <w:rPr>
                <w:sz w:val="24"/>
                <w:vertAlign w:val="superscript"/>
              </w:rPr>
              <w:t>3-</w:t>
            </w:r>
            <w:r>
              <w:rPr>
                <w:sz w:val="24"/>
                <w:vertAlign w:val="baseline"/>
              </w:rPr>
              <w:t> )</w:t>
            </w:r>
          </w:p>
          <w:p>
            <w:pPr>
              <w:pStyle w:val="TableParagraph"/>
              <w:spacing w:line="99" w:lineRule="exact"/>
              <w:ind w:left="0" w:right="881"/>
              <w:jc w:val="right"/>
              <w:rPr>
                <w:sz w:val="16"/>
              </w:rPr>
            </w:pPr>
            <w:r>
              <w:rPr>
                <w:sz w:val="16"/>
              </w:rPr>
              <w:t>4</w:t>
            </w:r>
          </w:p>
        </w:tc>
        <w:tc>
          <w:tcPr>
            <w:tcW w:w="2080" w:type="dxa"/>
          </w:tcPr>
          <w:p>
            <w:pPr>
              <w:pStyle w:val="TableParagraph"/>
              <w:spacing w:line="274" w:lineRule="exact"/>
              <w:ind w:left="765" w:right="766"/>
              <w:jc w:val="center"/>
              <w:rPr>
                <w:sz w:val="24"/>
              </w:rPr>
            </w:pPr>
            <w:r>
              <w:rPr>
                <w:sz w:val="24"/>
              </w:rPr>
              <w:t>31</w:t>
            </w:r>
          </w:p>
        </w:tc>
      </w:tr>
      <w:tr>
        <w:trPr>
          <w:trHeight w:val="734" w:hRule="atLeast"/>
        </w:trPr>
        <w:tc>
          <w:tcPr>
            <w:tcW w:w="1808" w:type="dxa"/>
          </w:tcPr>
          <w:p>
            <w:pPr>
              <w:pStyle w:val="TableParagraph"/>
              <w:spacing w:line="274" w:lineRule="exact"/>
              <w:rPr>
                <w:sz w:val="24"/>
              </w:rPr>
            </w:pPr>
            <w:r>
              <w:rPr>
                <w:sz w:val="24"/>
              </w:rPr>
              <w:t>Photo N° 06</w:t>
            </w:r>
          </w:p>
        </w:tc>
        <w:tc>
          <w:tcPr>
            <w:tcW w:w="5249" w:type="dxa"/>
          </w:tcPr>
          <w:p>
            <w:pPr>
              <w:pStyle w:val="TableParagraph"/>
              <w:spacing w:line="274" w:lineRule="exact"/>
              <w:ind w:left="174" w:right="173"/>
              <w:jc w:val="center"/>
              <w:rPr>
                <w:sz w:val="24"/>
              </w:rPr>
            </w:pPr>
            <w:r>
              <w:rPr>
                <w:sz w:val="24"/>
              </w:rPr>
              <w:t>membrane à filtration</w:t>
            </w:r>
          </w:p>
        </w:tc>
        <w:tc>
          <w:tcPr>
            <w:tcW w:w="2080" w:type="dxa"/>
          </w:tcPr>
          <w:p>
            <w:pPr>
              <w:pStyle w:val="TableParagraph"/>
              <w:spacing w:line="274" w:lineRule="exact"/>
              <w:ind w:left="765" w:right="766"/>
              <w:jc w:val="center"/>
              <w:rPr>
                <w:sz w:val="24"/>
              </w:rPr>
            </w:pPr>
            <w:r>
              <w:rPr>
                <w:sz w:val="24"/>
              </w:rPr>
              <w:t>37</w:t>
            </w:r>
          </w:p>
        </w:tc>
      </w:tr>
      <w:tr>
        <w:trPr>
          <w:trHeight w:val="734" w:hRule="atLeast"/>
        </w:trPr>
        <w:tc>
          <w:tcPr>
            <w:tcW w:w="1808" w:type="dxa"/>
          </w:tcPr>
          <w:p>
            <w:pPr>
              <w:pStyle w:val="TableParagraph"/>
              <w:spacing w:line="274" w:lineRule="exact"/>
              <w:rPr>
                <w:sz w:val="24"/>
              </w:rPr>
            </w:pPr>
            <w:r>
              <w:rPr>
                <w:sz w:val="24"/>
              </w:rPr>
              <w:t>Photo N° 07</w:t>
            </w:r>
          </w:p>
        </w:tc>
        <w:tc>
          <w:tcPr>
            <w:tcW w:w="5249" w:type="dxa"/>
          </w:tcPr>
          <w:p>
            <w:pPr>
              <w:pStyle w:val="TableParagraph"/>
              <w:spacing w:line="274" w:lineRule="exact"/>
              <w:ind w:left="171" w:right="173"/>
              <w:jc w:val="center"/>
              <w:rPr>
                <w:sz w:val="24"/>
              </w:rPr>
            </w:pPr>
            <w:r>
              <w:rPr>
                <w:sz w:val="24"/>
              </w:rPr>
              <w:t>Recherche et dénombrement des streptocoques</w:t>
            </w:r>
          </w:p>
        </w:tc>
        <w:tc>
          <w:tcPr>
            <w:tcW w:w="2080" w:type="dxa"/>
          </w:tcPr>
          <w:p>
            <w:pPr>
              <w:pStyle w:val="TableParagraph"/>
              <w:spacing w:line="274" w:lineRule="exact"/>
              <w:ind w:left="765" w:right="766"/>
              <w:jc w:val="center"/>
              <w:rPr>
                <w:sz w:val="24"/>
              </w:rPr>
            </w:pPr>
            <w:r>
              <w:rPr>
                <w:sz w:val="24"/>
              </w:rPr>
              <w:t>41</w:t>
            </w:r>
          </w:p>
        </w:tc>
      </w:tr>
      <w:tr>
        <w:trPr>
          <w:trHeight w:val="733" w:hRule="atLeast"/>
        </w:trPr>
        <w:tc>
          <w:tcPr>
            <w:tcW w:w="1808" w:type="dxa"/>
          </w:tcPr>
          <w:p>
            <w:pPr>
              <w:pStyle w:val="TableParagraph"/>
              <w:spacing w:line="273" w:lineRule="exact"/>
              <w:rPr>
                <w:sz w:val="24"/>
              </w:rPr>
            </w:pPr>
            <w:r>
              <w:rPr>
                <w:sz w:val="24"/>
              </w:rPr>
              <w:t>Photo N° 08</w:t>
            </w:r>
          </w:p>
        </w:tc>
        <w:tc>
          <w:tcPr>
            <w:tcW w:w="5249" w:type="dxa"/>
          </w:tcPr>
          <w:p>
            <w:pPr>
              <w:pStyle w:val="TableParagraph"/>
              <w:ind w:left="172" w:right="173"/>
              <w:jc w:val="center"/>
              <w:rPr>
                <w:sz w:val="24"/>
              </w:rPr>
            </w:pPr>
            <w:r>
              <w:rPr>
                <w:color w:val="242424"/>
                <w:sz w:val="24"/>
              </w:rPr>
              <w:t>Recherche et dénombrement des ASR</w:t>
            </w:r>
          </w:p>
        </w:tc>
        <w:tc>
          <w:tcPr>
            <w:tcW w:w="2080" w:type="dxa"/>
          </w:tcPr>
          <w:p>
            <w:pPr>
              <w:pStyle w:val="TableParagraph"/>
              <w:spacing w:line="273" w:lineRule="exact"/>
              <w:ind w:left="765" w:right="766"/>
              <w:jc w:val="center"/>
              <w:rPr>
                <w:sz w:val="24"/>
              </w:rPr>
            </w:pPr>
            <w:r>
              <w:rPr>
                <w:sz w:val="24"/>
              </w:rPr>
              <w:t>42</w:t>
            </w:r>
          </w:p>
        </w:tc>
      </w:tr>
    </w:tbl>
    <w:p>
      <w:pPr>
        <w:spacing w:after="0" w:line="273" w:lineRule="exact"/>
        <w:jc w:val="center"/>
        <w:rPr>
          <w:sz w:val="24"/>
        </w:rPr>
        <w:sectPr>
          <w:pgSz w:w="11900" w:h="16840"/>
          <w:pgMar w:top="1360" w:bottom="280" w:left="740" w:right="0"/>
        </w:sectPr>
      </w:pPr>
    </w:p>
    <w:p>
      <w:pPr>
        <w:spacing w:before="70"/>
        <w:ind w:left="751" w:right="2416" w:firstLine="0"/>
        <w:jc w:val="center"/>
        <w:rPr>
          <w:b/>
          <w:sz w:val="24"/>
        </w:rPr>
      </w:pPr>
      <w:r>
        <w:rPr>
          <w:b/>
          <w:sz w:val="24"/>
          <w:u w:val="thick"/>
        </w:rPr>
        <w:t>Liste des tableaux </w:t>
      </w:r>
    </w:p>
    <w:p>
      <w:pPr>
        <w:pStyle w:val="BodyText"/>
        <w:spacing w:before="4"/>
        <w:rPr>
          <w:b/>
          <w:sz w:val="20"/>
        </w:rPr>
      </w:pPr>
    </w:p>
    <w:tbl>
      <w:tblPr>
        <w:tblW w:w="0" w:type="auto"/>
        <w:jc w:val="left"/>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8"/>
        <w:gridCol w:w="6526"/>
        <w:gridCol w:w="1277"/>
      </w:tblGrid>
      <w:tr>
        <w:trPr>
          <w:trHeight w:val="705" w:hRule="atLeast"/>
        </w:trPr>
        <w:tc>
          <w:tcPr>
            <w:tcW w:w="1808" w:type="dxa"/>
          </w:tcPr>
          <w:p>
            <w:pPr>
              <w:pStyle w:val="TableParagraph"/>
              <w:spacing w:before="4"/>
              <w:rPr>
                <w:b/>
                <w:sz w:val="24"/>
              </w:rPr>
            </w:pPr>
            <w:r>
              <w:rPr>
                <w:b/>
                <w:sz w:val="24"/>
              </w:rPr>
              <w:t>N° de Tableau</w:t>
            </w:r>
          </w:p>
        </w:tc>
        <w:tc>
          <w:tcPr>
            <w:tcW w:w="6526" w:type="dxa"/>
          </w:tcPr>
          <w:p>
            <w:pPr>
              <w:pStyle w:val="TableParagraph"/>
              <w:spacing w:before="4"/>
              <w:ind w:left="109"/>
              <w:rPr>
                <w:b/>
                <w:sz w:val="24"/>
              </w:rPr>
            </w:pPr>
            <w:r>
              <w:rPr>
                <w:b/>
                <w:sz w:val="24"/>
              </w:rPr>
              <w:t>Titre de tableau</w:t>
            </w:r>
          </w:p>
        </w:tc>
        <w:tc>
          <w:tcPr>
            <w:tcW w:w="1277" w:type="dxa"/>
          </w:tcPr>
          <w:p>
            <w:pPr>
              <w:pStyle w:val="TableParagraph"/>
              <w:spacing w:before="4"/>
              <w:ind w:left="100"/>
              <w:rPr>
                <w:b/>
                <w:sz w:val="24"/>
              </w:rPr>
            </w:pPr>
            <w:r>
              <w:rPr>
                <w:b/>
                <w:sz w:val="24"/>
              </w:rPr>
              <w:t>Page</w:t>
            </w:r>
          </w:p>
        </w:tc>
      </w:tr>
      <w:tr>
        <w:trPr>
          <w:trHeight w:val="674" w:hRule="atLeast"/>
        </w:trPr>
        <w:tc>
          <w:tcPr>
            <w:tcW w:w="1808" w:type="dxa"/>
          </w:tcPr>
          <w:p>
            <w:pPr>
              <w:pStyle w:val="TableParagraph"/>
              <w:spacing w:before="4"/>
              <w:rPr>
                <w:sz w:val="24"/>
              </w:rPr>
            </w:pPr>
            <w:r>
              <w:rPr>
                <w:sz w:val="24"/>
              </w:rPr>
              <w:t>TableauN°01</w:t>
            </w:r>
          </w:p>
        </w:tc>
        <w:tc>
          <w:tcPr>
            <w:tcW w:w="6526" w:type="dxa"/>
          </w:tcPr>
          <w:p>
            <w:pPr>
              <w:pStyle w:val="TableParagraph"/>
              <w:spacing w:before="4"/>
              <w:ind w:left="109"/>
              <w:rPr>
                <w:sz w:val="24"/>
              </w:rPr>
            </w:pPr>
            <w:r>
              <w:rPr>
                <w:sz w:val="24"/>
              </w:rPr>
              <w:t>Comparaison entre les eaux de surface et souterraines</w:t>
            </w:r>
          </w:p>
        </w:tc>
        <w:tc>
          <w:tcPr>
            <w:tcW w:w="1277" w:type="dxa"/>
          </w:tcPr>
          <w:p>
            <w:pPr>
              <w:pStyle w:val="TableParagraph"/>
              <w:spacing w:before="4"/>
              <w:ind w:left="100"/>
              <w:rPr>
                <w:sz w:val="24"/>
              </w:rPr>
            </w:pPr>
            <w:r>
              <w:rPr>
                <w:sz w:val="24"/>
              </w:rPr>
              <w:t>4</w:t>
            </w:r>
          </w:p>
        </w:tc>
      </w:tr>
      <w:tr>
        <w:trPr>
          <w:trHeight w:val="705" w:hRule="atLeast"/>
        </w:trPr>
        <w:tc>
          <w:tcPr>
            <w:tcW w:w="1808" w:type="dxa"/>
          </w:tcPr>
          <w:p>
            <w:pPr>
              <w:pStyle w:val="TableParagraph"/>
              <w:rPr>
                <w:sz w:val="24"/>
              </w:rPr>
            </w:pPr>
            <w:r>
              <w:rPr>
                <w:sz w:val="24"/>
              </w:rPr>
              <w:t>TableauN°02</w:t>
            </w:r>
          </w:p>
        </w:tc>
        <w:tc>
          <w:tcPr>
            <w:tcW w:w="6526" w:type="dxa"/>
          </w:tcPr>
          <w:p>
            <w:pPr>
              <w:pStyle w:val="TableParagraph"/>
              <w:ind w:left="109"/>
              <w:rPr>
                <w:sz w:val="24"/>
              </w:rPr>
            </w:pPr>
            <w:r>
              <w:rPr>
                <w:sz w:val="24"/>
              </w:rPr>
              <w:t>Les bactéries pathogènesdans les eaux</w:t>
            </w:r>
          </w:p>
        </w:tc>
        <w:tc>
          <w:tcPr>
            <w:tcW w:w="1277" w:type="dxa"/>
          </w:tcPr>
          <w:p>
            <w:pPr>
              <w:pStyle w:val="TableParagraph"/>
              <w:ind w:left="100"/>
              <w:rPr>
                <w:sz w:val="24"/>
              </w:rPr>
            </w:pPr>
            <w:r>
              <w:rPr>
                <w:sz w:val="24"/>
              </w:rPr>
              <w:t>11</w:t>
            </w:r>
          </w:p>
        </w:tc>
      </w:tr>
      <w:tr>
        <w:trPr>
          <w:trHeight w:val="710" w:hRule="atLeast"/>
        </w:trPr>
        <w:tc>
          <w:tcPr>
            <w:tcW w:w="1808" w:type="dxa"/>
          </w:tcPr>
          <w:p>
            <w:pPr>
              <w:pStyle w:val="TableParagraph"/>
              <w:spacing w:before="3"/>
              <w:rPr>
                <w:sz w:val="24"/>
              </w:rPr>
            </w:pPr>
            <w:r>
              <w:rPr>
                <w:sz w:val="24"/>
              </w:rPr>
              <w:t>Tableau N°03</w:t>
            </w:r>
          </w:p>
        </w:tc>
        <w:tc>
          <w:tcPr>
            <w:tcW w:w="6526" w:type="dxa"/>
          </w:tcPr>
          <w:p>
            <w:pPr>
              <w:pStyle w:val="TableParagraph"/>
              <w:spacing w:before="3"/>
              <w:ind w:left="109"/>
              <w:rPr>
                <w:sz w:val="24"/>
              </w:rPr>
            </w:pPr>
            <w:r>
              <w:rPr>
                <w:sz w:val="24"/>
              </w:rPr>
              <w:t>Lesprotozoaires pathogènes dans les eaux</w:t>
            </w:r>
          </w:p>
        </w:tc>
        <w:tc>
          <w:tcPr>
            <w:tcW w:w="1277" w:type="dxa"/>
          </w:tcPr>
          <w:p>
            <w:pPr>
              <w:pStyle w:val="TableParagraph"/>
              <w:spacing w:before="3"/>
              <w:ind w:left="100"/>
              <w:rPr>
                <w:sz w:val="24"/>
              </w:rPr>
            </w:pPr>
            <w:r>
              <w:rPr>
                <w:sz w:val="24"/>
              </w:rPr>
              <w:t>12</w:t>
            </w:r>
          </w:p>
        </w:tc>
      </w:tr>
      <w:tr>
        <w:trPr>
          <w:trHeight w:val="670" w:hRule="atLeast"/>
        </w:trPr>
        <w:tc>
          <w:tcPr>
            <w:tcW w:w="1808" w:type="dxa"/>
          </w:tcPr>
          <w:p>
            <w:pPr>
              <w:pStyle w:val="TableParagraph"/>
              <w:spacing w:before="3"/>
              <w:rPr>
                <w:sz w:val="24"/>
              </w:rPr>
            </w:pPr>
            <w:r>
              <w:rPr>
                <w:sz w:val="24"/>
              </w:rPr>
              <w:t>Tableau N°04</w:t>
            </w:r>
          </w:p>
        </w:tc>
        <w:tc>
          <w:tcPr>
            <w:tcW w:w="6526" w:type="dxa"/>
          </w:tcPr>
          <w:p>
            <w:pPr>
              <w:pStyle w:val="TableParagraph"/>
              <w:spacing w:before="3"/>
              <w:ind w:left="712"/>
              <w:rPr>
                <w:sz w:val="24"/>
              </w:rPr>
            </w:pPr>
            <w:r>
              <w:rPr>
                <w:sz w:val="24"/>
              </w:rPr>
              <w:t>Les virus dans les eaux</w:t>
            </w:r>
          </w:p>
        </w:tc>
        <w:tc>
          <w:tcPr>
            <w:tcW w:w="1277" w:type="dxa"/>
          </w:tcPr>
          <w:p>
            <w:pPr>
              <w:pStyle w:val="TableParagraph"/>
              <w:spacing w:before="3"/>
              <w:ind w:left="100"/>
              <w:rPr>
                <w:sz w:val="24"/>
              </w:rPr>
            </w:pPr>
            <w:r>
              <w:rPr>
                <w:sz w:val="24"/>
              </w:rPr>
              <w:t>13</w:t>
            </w:r>
          </w:p>
        </w:tc>
      </w:tr>
      <w:tr>
        <w:trPr>
          <w:trHeight w:val="710" w:hRule="atLeast"/>
        </w:trPr>
        <w:tc>
          <w:tcPr>
            <w:tcW w:w="1808" w:type="dxa"/>
          </w:tcPr>
          <w:p>
            <w:pPr>
              <w:pStyle w:val="TableParagraph"/>
              <w:spacing w:before="2"/>
              <w:rPr>
                <w:sz w:val="24"/>
              </w:rPr>
            </w:pPr>
            <w:r>
              <w:rPr>
                <w:sz w:val="24"/>
              </w:rPr>
              <w:t>Tableau N°05</w:t>
            </w:r>
          </w:p>
        </w:tc>
        <w:tc>
          <w:tcPr>
            <w:tcW w:w="6526" w:type="dxa"/>
          </w:tcPr>
          <w:p>
            <w:pPr>
              <w:pStyle w:val="TableParagraph"/>
              <w:spacing w:before="2"/>
              <w:ind w:left="109"/>
              <w:rPr>
                <w:sz w:val="24"/>
              </w:rPr>
            </w:pPr>
            <w:r>
              <w:rPr>
                <w:sz w:val="24"/>
              </w:rPr>
              <w:t>Exemples de maladies liées à quelques éléments chimiques</w:t>
            </w:r>
          </w:p>
        </w:tc>
        <w:tc>
          <w:tcPr>
            <w:tcW w:w="1277" w:type="dxa"/>
          </w:tcPr>
          <w:p>
            <w:pPr>
              <w:pStyle w:val="TableParagraph"/>
              <w:spacing w:before="2"/>
              <w:ind w:left="100"/>
              <w:rPr>
                <w:sz w:val="24"/>
              </w:rPr>
            </w:pPr>
            <w:r>
              <w:rPr>
                <w:sz w:val="24"/>
              </w:rPr>
              <w:t>14</w:t>
            </w:r>
          </w:p>
        </w:tc>
      </w:tr>
      <w:tr>
        <w:trPr>
          <w:trHeight w:val="709" w:hRule="atLeast"/>
        </w:trPr>
        <w:tc>
          <w:tcPr>
            <w:tcW w:w="1808" w:type="dxa"/>
          </w:tcPr>
          <w:p>
            <w:pPr>
              <w:pStyle w:val="TableParagraph"/>
              <w:spacing w:before="2"/>
              <w:rPr>
                <w:sz w:val="24"/>
              </w:rPr>
            </w:pPr>
            <w:r>
              <w:rPr>
                <w:sz w:val="24"/>
              </w:rPr>
              <w:t>Tableau N°06</w:t>
            </w:r>
          </w:p>
        </w:tc>
        <w:tc>
          <w:tcPr>
            <w:tcW w:w="6526" w:type="dxa"/>
          </w:tcPr>
          <w:p>
            <w:pPr>
              <w:pStyle w:val="TableParagraph"/>
              <w:spacing w:before="2"/>
              <w:ind w:left="109"/>
              <w:rPr>
                <w:sz w:val="24"/>
              </w:rPr>
            </w:pPr>
            <w:r>
              <w:rPr>
                <w:sz w:val="24"/>
              </w:rPr>
              <w:t>Dénombrement des anaérobies sulfito-réducteur (ASR)</w:t>
            </w:r>
          </w:p>
        </w:tc>
        <w:tc>
          <w:tcPr>
            <w:tcW w:w="1277" w:type="dxa"/>
          </w:tcPr>
          <w:p>
            <w:pPr>
              <w:pStyle w:val="TableParagraph"/>
              <w:spacing w:before="2"/>
              <w:ind w:left="100"/>
              <w:rPr>
                <w:sz w:val="24"/>
              </w:rPr>
            </w:pPr>
            <w:r>
              <w:rPr>
                <w:sz w:val="24"/>
              </w:rPr>
              <w:t>58</w:t>
            </w:r>
          </w:p>
        </w:tc>
      </w:tr>
    </w:tbl>
    <w:p>
      <w:pPr>
        <w:spacing w:after="0"/>
        <w:rPr>
          <w:sz w:val="24"/>
        </w:rPr>
        <w:sectPr>
          <w:pgSz w:w="11900" w:h="16840"/>
          <w:pgMar w:top="1360" w:bottom="280" w:left="740" w:right="0"/>
        </w:sectPr>
      </w:pPr>
    </w:p>
    <w:p>
      <w:pPr>
        <w:spacing w:before="69"/>
        <w:ind w:left="3134" w:right="0" w:firstLine="0"/>
        <w:jc w:val="left"/>
        <w:rPr>
          <w:b/>
          <w:sz w:val="28"/>
        </w:rPr>
      </w:pPr>
      <w:r>
        <w:rPr>
          <w:b/>
          <w:sz w:val="28"/>
          <w:u w:val="thick"/>
        </w:rPr>
        <w:t>Liste des abréviations</w:t>
      </w:r>
    </w:p>
    <w:p>
      <w:pPr>
        <w:spacing w:line="451" w:lineRule="auto" w:before="247"/>
        <w:ind w:left="675" w:right="9145" w:firstLine="0"/>
        <w:jc w:val="left"/>
        <w:rPr>
          <w:sz w:val="24"/>
        </w:rPr>
      </w:pPr>
      <w:r>
        <w:rPr>
          <w:b/>
          <w:sz w:val="24"/>
        </w:rPr>
        <w:t>% : </w:t>
      </w:r>
      <w:r>
        <w:rPr>
          <w:sz w:val="24"/>
        </w:rPr>
        <w:t>pour cent </w:t>
      </w:r>
      <w:r>
        <w:rPr>
          <w:b/>
          <w:sz w:val="24"/>
        </w:rPr>
        <w:t>(-) : </w:t>
      </w:r>
      <w:r>
        <w:rPr>
          <w:sz w:val="24"/>
        </w:rPr>
        <w:t>négatif </w:t>
      </w:r>
      <w:r>
        <w:rPr>
          <w:b/>
          <w:sz w:val="24"/>
        </w:rPr>
        <w:t>(+) : </w:t>
      </w:r>
      <w:r>
        <w:rPr>
          <w:sz w:val="24"/>
        </w:rPr>
        <w:t>positif</w:t>
      </w:r>
    </w:p>
    <w:p>
      <w:pPr>
        <w:spacing w:line="271" w:lineRule="exact" w:before="0"/>
        <w:ind w:left="735" w:right="0" w:firstLine="0"/>
        <w:jc w:val="left"/>
        <w:rPr>
          <w:sz w:val="24"/>
        </w:rPr>
      </w:pPr>
      <w:r>
        <w:rPr>
          <w:b/>
          <w:sz w:val="24"/>
        </w:rPr>
        <w:t>± : </w:t>
      </w:r>
      <w:r>
        <w:rPr>
          <w:sz w:val="24"/>
        </w:rPr>
        <w:t>plus ou moins</w:t>
      </w:r>
    </w:p>
    <w:p>
      <w:pPr>
        <w:pStyle w:val="BodyText"/>
        <w:spacing w:before="9"/>
        <w:rPr>
          <w:sz w:val="20"/>
        </w:rPr>
      </w:pPr>
    </w:p>
    <w:p>
      <w:pPr>
        <w:spacing w:before="1"/>
        <w:ind w:left="675" w:right="0" w:firstLine="0"/>
        <w:jc w:val="left"/>
        <w:rPr>
          <w:sz w:val="24"/>
        </w:rPr>
      </w:pPr>
      <w:r>
        <w:rPr>
          <w:b/>
          <w:sz w:val="24"/>
        </w:rPr>
        <w:t>° C </w:t>
      </w:r>
      <w:r>
        <w:rPr>
          <w:sz w:val="24"/>
        </w:rPr>
        <w:t>: degré Celsius</w:t>
      </w:r>
    </w:p>
    <w:p>
      <w:pPr>
        <w:pStyle w:val="BodyText"/>
        <w:spacing w:before="2"/>
        <w:rPr>
          <w:sz w:val="21"/>
        </w:rPr>
      </w:pPr>
    </w:p>
    <w:p>
      <w:pPr>
        <w:spacing w:before="0"/>
        <w:ind w:left="675" w:right="0" w:firstLine="0"/>
        <w:jc w:val="left"/>
        <w:rPr>
          <w:sz w:val="24"/>
        </w:rPr>
      </w:pPr>
      <w:r>
        <w:rPr>
          <w:b/>
          <w:sz w:val="24"/>
        </w:rPr>
        <w:t>° F : </w:t>
      </w:r>
      <w:r>
        <w:rPr>
          <w:sz w:val="24"/>
        </w:rPr>
        <w:t>degré français</w:t>
      </w:r>
    </w:p>
    <w:p>
      <w:pPr>
        <w:pStyle w:val="BodyText"/>
        <w:spacing w:before="1"/>
        <w:rPr>
          <w:sz w:val="13"/>
        </w:rPr>
      </w:pPr>
    </w:p>
    <w:p>
      <w:pPr>
        <w:spacing w:before="89"/>
        <w:ind w:left="675" w:right="0" w:firstLine="0"/>
        <w:jc w:val="left"/>
        <w:rPr>
          <w:sz w:val="24"/>
        </w:rPr>
      </w:pPr>
      <w:r>
        <w:rPr>
          <w:b/>
          <w:color w:val="1B1B1B"/>
          <w:sz w:val="24"/>
        </w:rPr>
        <w:t>ADE : </w:t>
      </w:r>
      <w:r>
        <w:rPr>
          <w:sz w:val="24"/>
        </w:rPr>
        <w:t>Algérienne des Eaux</w:t>
      </w:r>
    </w:p>
    <w:p>
      <w:pPr>
        <w:pStyle w:val="BodyText"/>
        <w:spacing w:before="10"/>
        <w:rPr>
          <w:sz w:val="20"/>
        </w:rPr>
      </w:pPr>
    </w:p>
    <w:p>
      <w:pPr>
        <w:spacing w:before="0"/>
        <w:ind w:left="675" w:right="0" w:firstLine="0"/>
        <w:jc w:val="left"/>
        <w:rPr>
          <w:sz w:val="24"/>
        </w:rPr>
      </w:pPr>
      <w:r>
        <w:rPr>
          <w:b/>
          <w:sz w:val="24"/>
        </w:rPr>
        <w:t>Ca++ : </w:t>
      </w:r>
      <w:r>
        <w:rPr>
          <w:sz w:val="24"/>
        </w:rPr>
        <w:t>Calcium</w:t>
      </w:r>
    </w:p>
    <w:p>
      <w:pPr>
        <w:pStyle w:val="BodyText"/>
        <w:spacing w:before="2"/>
        <w:rPr>
          <w:sz w:val="21"/>
        </w:rPr>
      </w:pPr>
    </w:p>
    <w:p>
      <w:pPr>
        <w:spacing w:before="0"/>
        <w:ind w:left="675" w:right="0" w:firstLine="0"/>
        <w:jc w:val="left"/>
        <w:rPr>
          <w:sz w:val="24"/>
        </w:rPr>
      </w:pPr>
      <w:r>
        <w:rPr>
          <w:b/>
          <w:sz w:val="24"/>
        </w:rPr>
        <w:t>cm : </w:t>
      </w:r>
      <w:r>
        <w:rPr>
          <w:sz w:val="24"/>
        </w:rPr>
        <w:t>centimètre</w:t>
      </w:r>
    </w:p>
    <w:p>
      <w:pPr>
        <w:pStyle w:val="BodyText"/>
        <w:spacing w:before="10"/>
        <w:rPr>
          <w:sz w:val="20"/>
        </w:rPr>
      </w:pPr>
    </w:p>
    <w:p>
      <w:pPr>
        <w:spacing w:before="0"/>
        <w:ind w:left="675" w:right="0" w:firstLine="0"/>
        <w:jc w:val="left"/>
        <w:rPr>
          <w:sz w:val="24"/>
        </w:rPr>
      </w:pPr>
      <w:r>
        <w:rPr>
          <w:b/>
          <w:sz w:val="24"/>
        </w:rPr>
        <w:t>CO</w:t>
      </w:r>
      <w:r>
        <w:rPr>
          <w:b/>
          <w:sz w:val="24"/>
          <w:vertAlign w:val="subscript"/>
        </w:rPr>
        <w:t>2</w:t>
      </w:r>
      <w:r>
        <w:rPr>
          <w:b/>
          <w:sz w:val="24"/>
          <w:vertAlign w:val="baseline"/>
        </w:rPr>
        <w:t> : </w:t>
      </w:r>
      <w:r>
        <w:rPr>
          <w:sz w:val="24"/>
          <w:vertAlign w:val="baseline"/>
        </w:rPr>
        <w:t>dioxyde de carbone</w:t>
      </w:r>
    </w:p>
    <w:p>
      <w:pPr>
        <w:pStyle w:val="BodyText"/>
        <w:spacing w:line="451" w:lineRule="auto" w:before="240"/>
        <w:ind w:left="675" w:right="5339"/>
      </w:pPr>
      <w:r>
        <w:rPr>
          <w:b/>
        </w:rPr>
        <w:t>D.H.W : </w:t>
      </w:r>
      <w:r>
        <w:rPr/>
        <w:t>Direction d’Hydraulique de la Wilaya </w:t>
      </w:r>
      <w:r>
        <w:rPr>
          <w:b/>
        </w:rPr>
        <w:t>EDTA : </w:t>
      </w:r>
      <w:r>
        <w:rPr/>
        <w:t>acide éthylène diamine tétra-acétique </w:t>
      </w:r>
      <w:r>
        <w:rPr>
          <w:b/>
        </w:rPr>
        <w:t>H</w:t>
      </w:r>
      <w:r>
        <w:rPr>
          <w:b/>
          <w:vertAlign w:val="subscript"/>
        </w:rPr>
        <w:t>2</w:t>
      </w:r>
      <w:r>
        <w:rPr>
          <w:b/>
          <w:vertAlign w:val="baseline"/>
        </w:rPr>
        <w:t>SO</w:t>
      </w:r>
      <w:r>
        <w:rPr>
          <w:b/>
          <w:vertAlign w:val="subscript"/>
        </w:rPr>
        <w:t>4</w:t>
      </w:r>
      <w:r>
        <w:rPr>
          <w:b/>
          <w:vertAlign w:val="baseline"/>
        </w:rPr>
        <w:t>: </w:t>
      </w:r>
      <w:r>
        <w:rPr>
          <w:vertAlign w:val="baseline"/>
        </w:rPr>
        <w:t>acide sulfurique</w:t>
      </w:r>
    </w:p>
    <w:p>
      <w:pPr>
        <w:spacing w:line="270" w:lineRule="exact" w:before="0"/>
        <w:ind w:left="675" w:right="0" w:firstLine="0"/>
        <w:jc w:val="left"/>
        <w:rPr>
          <w:sz w:val="24"/>
        </w:rPr>
      </w:pPr>
      <w:r>
        <w:rPr>
          <w:b/>
          <w:sz w:val="24"/>
        </w:rPr>
        <w:t>Ha : </w:t>
      </w:r>
      <w:r>
        <w:rPr>
          <w:sz w:val="24"/>
        </w:rPr>
        <w:t>hectare</w:t>
      </w:r>
    </w:p>
    <w:p>
      <w:pPr>
        <w:pStyle w:val="BodyText"/>
        <w:spacing w:before="3"/>
        <w:rPr>
          <w:sz w:val="21"/>
        </w:rPr>
      </w:pPr>
    </w:p>
    <w:p>
      <w:pPr>
        <w:spacing w:before="0"/>
        <w:ind w:left="675" w:right="0" w:firstLine="0"/>
        <w:jc w:val="left"/>
        <w:rPr>
          <w:sz w:val="24"/>
        </w:rPr>
      </w:pPr>
      <w:r>
        <w:rPr>
          <w:b/>
          <w:sz w:val="24"/>
        </w:rPr>
        <w:t>Hm³ : </w:t>
      </w:r>
      <w:r>
        <w:rPr>
          <w:sz w:val="24"/>
        </w:rPr>
        <w:t>hectomètre cube</w:t>
      </w:r>
    </w:p>
    <w:p>
      <w:pPr>
        <w:pStyle w:val="BodyText"/>
        <w:spacing w:before="10"/>
        <w:rPr>
          <w:sz w:val="20"/>
        </w:rPr>
      </w:pPr>
    </w:p>
    <w:p>
      <w:pPr>
        <w:pStyle w:val="BodyText"/>
        <w:spacing w:line="273" w:lineRule="auto"/>
        <w:ind w:left="675" w:right="2095"/>
      </w:pPr>
      <w:r>
        <w:rPr>
          <w:b/>
        </w:rPr>
        <w:t>ISO : </w:t>
      </w:r>
      <w:r>
        <w:rPr/>
        <w:t>International Organization for Standardization (Organisation internationale de normalisation)</w:t>
      </w:r>
    </w:p>
    <w:p>
      <w:pPr>
        <w:spacing w:before="206"/>
        <w:ind w:left="675" w:right="0" w:firstLine="0"/>
        <w:jc w:val="left"/>
        <w:rPr>
          <w:sz w:val="24"/>
        </w:rPr>
      </w:pPr>
      <w:r>
        <w:rPr>
          <w:b/>
          <w:sz w:val="24"/>
        </w:rPr>
        <w:t>Km</w:t>
      </w:r>
      <w:r>
        <w:rPr>
          <w:b/>
          <w:sz w:val="24"/>
          <w:vertAlign w:val="superscript"/>
        </w:rPr>
        <w:t>3</w:t>
      </w:r>
      <w:r>
        <w:rPr>
          <w:b/>
          <w:sz w:val="24"/>
          <w:vertAlign w:val="baseline"/>
        </w:rPr>
        <w:t> : </w:t>
      </w:r>
      <w:r>
        <w:rPr>
          <w:sz w:val="24"/>
          <w:vertAlign w:val="baseline"/>
        </w:rPr>
        <w:t>kilomètre cube</w:t>
      </w:r>
    </w:p>
    <w:p>
      <w:pPr>
        <w:spacing w:before="240"/>
        <w:ind w:left="675" w:right="0" w:firstLine="0"/>
        <w:jc w:val="left"/>
        <w:rPr>
          <w:sz w:val="24"/>
        </w:rPr>
      </w:pPr>
      <w:r>
        <w:rPr>
          <w:b/>
          <w:sz w:val="24"/>
        </w:rPr>
        <w:t>m</w:t>
      </w:r>
      <w:r>
        <w:rPr>
          <w:b/>
          <w:sz w:val="24"/>
          <w:vertAlign w:val="superscript"/>
        </w:rPr>
        <w:t>3</w:t>
      </w:r>
      <w:r>
        <w:rPr>
          <w:b/>
          <w:sz w:val="24"/>
          <w:vertAlign w:val="baseline"/>
        </w:rPr>
        <w:t> : </w:t>
      </w:r>
      <w:r>
        <w:rPr>
          <w:sz w:val="24"/>
          <w:vertAlign w:val="baseline"/>
        </w:rPr>
        <w:t>mètre cube</w:t>
      </w:r>
    </w:p>
    <w:p>
      <w:pPr>
        <w:spacing w:before="240"/>
        <w:ind w:left="675" w:right="0" w:firstLine="0"/>
        <w:jc w:val="left"/>
        <w:rPr>
          <w:sz w:val="24"/>
        </w:rPr>
      </w:pPr>
      <w:r>
        <w:rPr>
          <w:b/>
          <w:sz w:val="24"/>
        </w:rPr>
        <w:t>mg/l : </w:t>
      </w:r>
      <w:r>
        <w:rPr>
          <w:sz w:val="24"/>
        </w:rPr>
        <w:t>Milligramme par litre</w:t>
      </w:r>
    </w:p>
    <w:p>
      <w:pPr>
        <w:pStyle w:val="BodyText"/>
        <w:spacing w:before="2"/>
        <w:rPr>
          <w:sz w:val="21"/>
        </w:rPr>
      </w:pPr>
    </w:p>
    <w:p>
      <w:pPr>
        <w:spacing w:before="0"/>
        <w:ind w:left="675" w:right="0" w:firstLine="0"/>
        <w:jc w:val="left"/>
        <w:rPr>
          <w:sz w:val="24"/>
        </w:rPr>
      </w:pPr>
      <w:r>
        <w:rPr>
          <w:b/>
          <w:sz w:val="24"/>
        </w:rPr>
        <w:t>Mg</w:t>
      </w:r>
      <w:r>
        <w:rPr>
          <w:b/>
          <w:sz w:val="24"/>
          <w:vertAlign w:val="superscript"/>
        </w:rPr>
        <w:t>++</w:t>
      </w:r>
      <w:r>
        <w:rPr>
          <w:b/>
          <w:sz w:val="24"/>
          <w:vertAlign w:val="baseline"/>
        </w:rPr>
        <w:t> : </w:t>
      </w:r>
      <w:r>
        <w:rPr>
          <w:sz w:val="24"/>
          <w:vertAlign w:val="baseline"/>
        </w:rPr>
        <w:t>Magnésium</w:t>
      </w:r>
    </w:p>
    <w:p>
      <w:pPr>
        <w:spacing w:before="240"/>
        <w:ind w:left="675" w:right="0" w:firstLine="0"/>
        <w:jc w:val="left"/>
        <w:rPr>
          <w:sz w:val="24"/>
        </w:rPr>
      </w:pPr>
      <w:r>
        <w:rPr>
          <w:b/>
          <w:sz w:val="24"/>
        </w:rPr>
        <w:t>ml : </w:t>
      </w:r>
      <w:r>
        <w:rPr>
          <w:sz w:val="24"/>
        </w:rPr>
        <w:t>Millilitre</w:t>
      </w:r>
    </w:p>
    <w:p>
      <w:pPr>
        <w:pStyle w:val="BodyText"/>
        <w:spacing w:before="9"/>
        <w:rPr>
          <w:sz w:val="20"/>
        </w:rPr>
      </w:pPr>
    </w:p>
    <w:p>
      <w:pPr>
        <w:spacing w:before="0"/>
        <w:ind w:left="675" w:right="0" w:firstLine="0"/>
        <w:jc w:val="left"/>
        <w:rPr>
          <w:sz w:val="24"/>
        </w:rPr>
      </w:pPr>
      <w:r>
        <w:rPr>
          <w:b/>
          <w:sz w:val="24"/>
        </w:rPr>
        <w:t>mm : </w:t>
      </w:r>
      <w:r>
        <w:rPr>
          <w:sz w:val="24"/>
        </w:rPr>
        <w:t>Millimètres</w:t>
      </w:r>
    </w:p>
    <w:p>
      <w:pPr>
        <w:pStyle w:val="BodyText"/>
        <w:spacing w:before="3"/>
        <w:rPr>
          <w:sz w:val="21"/>
        </w:rPr>
      </w:pPr>
    </w:p>
    <w:p>
      <w:pPr>
        <w:spacing w:before="0"/>
        <w:ind w:left="675" w:right="0" w:firstLine="0"/>
        <w:jc w:val="left"/>
        <w:rPr>
          <w:sz w:val="24"/>
        </w:rPr>
      </w:pPr>
      <w:r>
        <w:rPr>
          <w:b/>
          <w:sz w:val="24"/>
        </w:rPr>
        <w:t>Na Cl : </w:t>
      </w:r>
      <w:r>
        <w:rPr>
          <w:sz w:val="24"/>
        </w:rPr>
        <w:t>chlorure de sodium:</w:t>
      </w:r>
    </w:p>
    <w:p>
      <w:pPr>
        <w:pStyle w:val="BodyText"/>
        <w:spacing w:before="10"/>
        <w:rPr>
          <w:sz w:val="20"/>
        </w:rPr>
      </w:pPr>
    </w:p>
    <w:p>
      <w:pPr>
        <w:spacing w:before="0"/>
        <w:ind w:left="675" w:right="0" w:firstLine="0"/>
        <w:jc w:val="left"/>
        <w:rPr>
          <w:sz w:val="24"/>
        </w:rPr>
      </w:pPr>
      <w:r>
        <w:rPr>
          <w:b/>
          <w:sz w:val="24"/>
        </w:rPr>
        <w:t>NH4+ : </w:t>
      </w:r>
      <w:r>
        <w:rPr>
          <w:sz w:val="24"/>
        </w:rPr>
        <w:t>ammonium</w:t>
      </w:r>
    </w:p>
    <w:p>
      <w:pPr>
        <w:pStyle w:val="BodyText"/>
        <w:spacing w:before="9"/>
        <w:rPr>
          <w:sz w:val="20"/>
        </w:rPr>
      </w:pPr>
    </w:p>
    <w:p>
      <w:pPr>
        <w:spacing w:before="0"/>
        <w:ind w:left="675" w:right="0" w:firstLine="0"/>
        <w:jc w:val="left"/>
        <w:rPr>
          <w:sz w:val="24"/>
        </w:rPr>
      </w:pPr>
      <w:r>
        <w:rPr>
          <w:b/>
          <w:sz w:val="24"/>
        </w:rPr>
        <w:t>nm : </w:t>
      </w:r>
      <w:r>
        <w:rPr>
          <w:sz w:val="24"/>
        </w:rPr>
        <w:t>Nanomètre</w:t>
      </w:r>
    </w:p>
    <w:p>
      <w:pPr>
        <w:spacing w:after="0"/>
        <w:jc w:val="left"/>
        <w:rPr>
          <w:sz w:val="24"/>
        </w:rPr>
        <w:sectPr>
          <w:pgSz w:w="11900" w:h="16840"/>
          <w:pgMar w:top="1360" w:bottom="280" w:left="740" w:right="0"/>
        </w:sectPr>
      </w:pPr>
    </w:p>
    <w:p>
      <w:pPr>
        <w:spacing w:before="66"/>
        <w:ind w:left="675" w:right="0" w:firstLine="0"/>
        <w:jc w:val="left"/>
        <w:rPr>
          <w:sz w:val="24"/>
        </w:rPr>
      </w:pPr>
      <w:r>
        <w:rPr>
          <w:b/>
          <w:sz w:val="24"/>
        </w:rPr>
        <w:t>O</w:t>
      </w:r>
      <w:r>
        <w:rPr>
          <w:b/>
          <w:sz w:val="24"/>
          <w:vertAlign w:val="subscript"/>
        </w:rPr>
        <w:t>2</w:t>
      </w:r>
      <w:r>
        <w:rPr>
          <w:b/>
          <w:sz w:val="24"/>
          <w:vertAlign w:val="baseline"/>
        </w:rPr>
        <w:t> : </w:t>
      </w:r>
      <w:r>
        <w:rPr>
          <w:sz w:val="24"/>
          <w:vertAlign w:val="baseline"/>
        </w:rPr>
        <w:t>Oxygène</w:t>
      </w:r>
    </w:p>
    <w:p>
      <w:pPr>
        <w:pStyle w:val="BodyText"/>
        <w:spacing w:line="448" w:lineRule="auto" w:before="244"/>
        <w:ind w:left="675" w:right="6139"/>
      </w:pPr>
      <w:r>
        <w:rPr>
          <w:b/>
        </w:rPr>
        <w:t>OMS : </w:t>
      </w:r>
      <w:r>
        <w:rPr/>
        <w:t>Organisation mondiale de santé </w:t>
      </w:r>
      <w:r>
        <w:rPr>
          <w:b/>
        </w:rPr>
        <w:t>ONM : </w:t>
      </w:r>
      <w:r>
        <w:rPr/>
        <w:t>Office National de la météorologie </w:t>
      </w:r>
      <w:r>
        <w:rPr>
          <w:b/>
        </w:rPr>
        <w:t>ONS : </w:t>
      </w:r>
      <w:r>
        <w:rPr/>
        <w:t>Office national des statistiques</w:t>
      </w:r>
    </w:p>
    <w:p>
      <w:pPr>
        <w:spacing w:before="3"/>
        <w:ind w:left="675" w:right="0" w:firstLine="0"/>
        <w:jc w:val="left"/>
        <w:rPr>
          <w:sz w:val="24"/>
        </w:rPr>
      </w:pPr>
      <w:r>
        <w:rPr>
          <w:b/>
          <w:sz w:val="24"/>
        </w:rPr>
        <w:t>pH : </w:t>
      </w:r>
      <w:r>
        <w:rPr>
          <w:sz w:val="24"/>
        </w:rPr>
        <w:t>potentiel hydrogène</w:t>
      </w:r>
    </w:p>
    <w:p>
      <w:pPr>
        <w:pStyle w:val="BodyText"/>
        <w:spacing w:before="10"/>
        <w:rPr>
          <w:sz w:val="20"/>
        </w:rPr>
      </w:pPr>
    </w:p>
    <w:p>
      <w:pPr>
        <w:spacing w:before="0"/>
        <w:ind w:left="675" w:right="0" w:firstLine="0"/>
        <w:jc w:val="left"/>
        <w:rPr>
          <w:sz w:val="24"/>
        </w:rPr>
      </w:pPr>
      <w:r>
        <w:rPr>
          <w:b/>
          <w:sz w:val="24"/>
        </w:rPr>
        <w:t>S : </w:t>
      </w:r>
      <w:r>
        <w:rPr>
          <w:sz w:val="24"/>
        </w:rPr>
        <w:t>seconde</w:t>
      </w:r>
    </w:p>
    <w:p>
      <w:pPr>
        <w:pStyle w:val="BodyText"/>
        <w:spacing w:before="9"/>
        <w:rPr>
          <w:sz w:val="20"/>
        </w:rPr>
      </w:pPr>
    </w:p>
    <w:p>
      <w:pPr>
        <w:spacing w:before="1"/>
        <w:ind w:left="675" w:right="0" w:firstLine="0"/>
        <w:jc w:val="left"/>
        <w:rPr>
          <w:sz w:val="24"/>
        </w:rPr>
      </w:pPr>
      <w:r>
        <w:rPr>
          <w:b/>
          <w:sz w:val="24"/>
        </w:rPr>
        <w:t>S.A.T : </w:t>
      </w:r>
      <w:r>
        <w:rPr>
          <w:sz w:val="24"/>
        </w:rPr>
        <w:t>Surface agricole totale</w:t>
      </w:r>
    </w:p>
    <w:p>
      <w:pPr>
        <w:pStyle w:val="BodyText"/>
        <w:spacing w:before="2"/>
        <w:rPr>
          <w:sz w:val="21"/>
        </w:rPr>
      </w:pPr>
    </w:p>
    <w:p>
      <w:pPr>
        <w:pStyle w:val="BodyText"/>
        <w:ind w:left="675"/>
      </w:pPr>
      <w:r>
        <w:rPr>
          <w:b/>
        </w:rPr>
        <w:t>UFC/l : </w:t>
      </w:r>
      <w:r>
        <w:rPr/>
        <w:t>Unité formant colonie par litre d'eau</w:t>
      </w:r>
    </w:p>
    <w:p>
      <w:pPr>
        <w:pStyle w:val="BodyText"/>
        <w:spacing w:before="10"/>
        <w:rPr>
          <w:sz w:val="20"/>
        </w:rPr>
      </w:pPr>
    </w:p>
    <w:p>
      <w:pPr>
        <w:spacing w:before="0"/>
        <w:ind w:left="675" w:right="0" w:firstLine="0"/>
        <w:jc w:val="left"/>
        <w:rPr>
          <w:sz w:val="24"/>
        </w:rPr>
      </w:pPr>
      <w:r>
        <w:rPr>
          <w:b/>
          <w:sz w:val="24"/>
        </w:rPr>
        <w:t>V : </w:t>
      </w:r>
      <w:r>
        <w:rPr>
          <w:sz w:val="24"/>
        </w:rPr>
        <w:t>volume</w:t>
      </w:r>
    </w:p>
    <w:p>
      <w:pPr>
        <w:pStyle w:val="BodyText"/>
        <w:spacing w:before="9"/>
        <w:rPr>
          <w:sz w:val="20"/>
        </w:rPr>
      </w:pPr>
    </w:p>
    <w:p>
      <w:pPr>
        <w:spacing w:before="1"/>
        <w:ind w:left="675" w:right="0" w:firstLine="0"/>
        <w:jc w:val="left"/>
        <w:rPr>
          <w:sz w:val="24"/>
        </w:rPr>
      </w:pPr>
      <w:r>
        <w:rPr>
          <w:b/>
          <w:sz w:val="24"/>
        </w:rPr>
        <w:t>μS/</w:t>
      </w:r>
      <w:r>
        <w:rPr>
          <w:b/>
          <w:i/>
          <w:sz w:val="24"/>
        </w:rPr>
        <w:t>cm </w:t>
      </w:r>
      <w:r>
        <w:rPr>
          <w:b/>
          <w:sz w:val="24"/>
        </w:rPr>
        <w:t>: </w:t>
      </w:r>
      <w:r>
        <w:rPr>
          <w:sz w:val="24"/>
        </w:rPr>
        <w:t>Micro siemens par centimètre</w:t>
      </w:r>
    </w:p>
    <w:p>
      <w:pPr>
        <w:spacing w:after="0"/>
        <w:jc w:val="left"/>
        <w:rPr>
          <w:sz w:val="24"/>
        </w:rPr>
        <w:sectPr>
          <w:pgSz w:w="11900" w:h="16840"/>
          <w:pgMar w:top="1360" w:bottom="280" w:left="740" w:right="0"/>
        </w:sectPr>
      </w:pPr>
    </w:p>
    <w:p>
      <w:pPr>
        <w:pStyle w:val="BodyText"/>
        <w:spacing w:before="2"/>
        <w:rPr>
          <w:sz w:val="19"/>
        </w:rPr>
      </w:pPr>
    </w:p>
    <w:p>
      <w:pPr>
        <w:pStyle w:val="Heading4"/>
        <w:spacing w:line="362" w:lineRule="auto" w:before="90"/>
        <w:ind w:right="8506"/>
      </w:pPr>
      <w:r>
        <w:rPr/>
        <w:t>Remerciement Liste des figures</w:t>
      </w:r>
    </w:p>
    <w:p>
      <w:pPr>
        <w:spacing w:line="415" w:lineRule="auto" w:before="90"/>
        <w:ind w:left="675" w:right="8158" w:firstLine="0"/>
        <w:jc w:val="left"/>
        <w:rPr>
          <w:b/>
          <w:sz w:val="24"/>
        </w:rPr>
      </w:pPr>
      <w:r>
        <w:rPr>
          <w:b/>
          <w:sz w:val="24"/>
        </w:rPr>
        <w:t>Liste des tableaux Liste des abréviations</w:t>
      </w:r>
    </w:p>
    <w:p>
      <w:pPr>
        <w:pStyle w:val="BodyText"/>
        <w:spacing w:before="7"/>
        <w:rPr>
          <w:b/>
          <w:sz w:val="16"/>
        </w:rPr>
      </w:pPr>
    </w:p>
    <w:p>
      <w:pPr>
        <w:spacing w:before="88"/>
        <w:ind w:left="3554" w:right="0" w:firstLine="0"/>
        <w:jc w:val="left"/>
        <w:rPr>
          <w:b/>
          <w:sz w:val="28"/>
        </w:rPr>
      </w:pPr>
      <w:r>
        <w:rPr>
          <w:b/>
          <w:sz w:val="28"/>
        </w:rPr>
        <w:t>Sommaire</w:t>
      </w:r>
    </w:p>
    <w:p>
      <w:pPr>
        <w:spacing w:after="0"/>
        <w:jc w:val="left"/>
        <w:rPr>
          <w:sz w:val="28"/>
        </w:rPr>
        <w:sectPr>
          <w:pgSz w:w="11900" w:h="16840"/>
          <w:pgMar w:top="1600" w:bottom="1479" w:left="740" w:right="0"/>
        </w:sectPr>
      </w:pPr>
    </w:p>
    <w:sdt>
      <w:sdtPr>
        <w:docPartObj>
          <w:docPartGallery w:val="Table of Contents"/>
          <w:docPartUnique/>
        </w:docPartObj>
      </w:sdtPr>
      <w:sdtEndPr/>
      <w:sdtContent>
        <w:p>
          <w:pPr>
            <w:pStyle w:val="TOC1"/>
            <w:tabs>
              <w:tab w:pos="8968" w:val="right" w:leader="dot"/>
            </w:tabs>
            <w:spacing w:before="563"/>
            <w:rPr>
              <w:b w:val="0"/>
            </w:rPr>
          </w:pPr>
          <w:hyperlink w:history="true" w:anchor="_TOC_250080">
            <w:r>
              <w:rPr/>
              <w:t>Introduction</w:t>
              <w:tab/>
            </w:r>
            <w:r>
              <w:rPr>
                <w:b w:val="0"/>
              </w:rPr>
              <w:t>1</w:t>
            </w:r>
          </w:hyperlink>
        </w:p>
        <w:p>
          <w:pPr>
            <w:pStyle w:val="TOC7"/>
          </w:pPr>
          <w:r>
            <w:rPr/>
            <w:t>Chapitre I: Généralités sur l’eau</w:t>
          </w:r>
        </w:p>
        <w:p>
          <w:pPr>
            <w:pStyle w:val="TOC2"/>
            <w:numPr>
              <w:ilvl w:val="1"/>
              <w:numId w:val="1"/>
            </w:numPr>
            <w:tabs>
              <w:tab w:pos="993" w:val="left" w:leader="none"/>
              <w:tab w:pos="8968" w:val="right" w:leader="dot"/>
            </w:tabs>
            <w:spacing w:line="240" w:lineRule="auto" w:before="655" w:after="0"/>
            <w:ind w:left="992" w:right="0" w:hanging="317"/>
            <w:jc w:val="left"/>
          </w:pPr>
          <w:hyperlink w:history="true" w:anchor="_TOC_250079">
            <w:r>
              <w:rPr/>
              <w:t>Propriétés</w:t>
            </w:r>
            <w:r>
              <w:rPr>
                <w:spacing w:val="-2"/>
              </w:rPr>
              <w:t> </w:t>
            </w:r>
            <w:r>
              <w:rPr/>
              <w:t>de</w:t>
            </w:r>
            <w:r>
              <w:rPr>
                <w:spacing w:val="1"/>
              </w:rPr>
              <w:t> </w:t>
            </w:r>
            <w:r>
              <w:rPr/>
              <w:t>l’eau</w:t>
              <w:tab/>
              <w:t>3</w:t>
            </w:r>
          </w:hyperlink>
        </w:p>
        <w:p>
          <w:pPr>
            <w:pStyle w:val="TOC3"/>
            <w:numPr>
              <w:ilvl w:val="1"/>
              <w:numId w:val="1"/>
            </w:numPr>
            <w:tabs>
              <w:tab w:pos="1279" w:val="left" w:leader="none"/>
              <w:tab w:pos="8968" w:val="right" w:leader="dot"/>
            </w:tabs>
            <w:spacing w:line="240" w:lineRule="auto" w:before="140" w:after="0"/>
            <w:ind w:left="1278" w:right="0" w:hanging="383"/>
            <w:jc w:val="left"/>
          </w:pPr>
          <w:hyperlink w:history="true" w:anchor="_TOC_250078">
            <w:r>
              <w:rPr>
                <w:spacing w:val="-2"/>
              </w:rPr>
              <w:t>Les </w:t>
            </w:r>
            <w:r>
              <w:rPr/>
              <w:t>ressources</w:t>
            </w:r>
            <w:r>
              <w:rPr>
                <w:spacing w:val="-2"/>
              </w:rPr>
              <w:t> </w:t>
            </w:r>
            <w:r>
              <w:rPr/>
              <w:t>en</w:t>
            </w:r>
            <w:r>
              <w:rPr>
                <w:spacing w:val="-1"/>
              </w:rPr>
              <w:t> </w:t>
            </w:r>
            <w:r>
              <w:rPr/>
              <w:t>eaux</w:t>
              <w:tab/>
              <w:t>3</w:t>
            </w:r>
          </w:hyperlink>
        </w:p>
        <w:p>
          <w:pPr>
            <w:pStyle w:val="TOC3"/>
            <w:numPr>
              <w:ilvl w:val="2"/>
              <w:numId w:val="1"/>
            </w:numPr>
            <w:tabs>
              <w:tab w:pos="1459" w:val="left" w:leader="none"/>
              <w:tab w:pos="8968" w:val="right" w:leader="dot"/>
            </w:tabs>
            <w:spacing w:line="240" w:lineRule="auto" w:before="140" w:after="0"/>
            <w:ind w:left="1458" w:right="0" w:hanging="563"/>
            <w:jc w:val="left"/>
          </w:pPr>
          <w:hyperlink w:history="true" w:anchor="_TOC_250077">
            <w:r>
              <w:rPr>
                <w:spacing w:val="-2"/>
              </w:rPr>
              <w:t>Les </w:t>
            </w:r>
            <w:r>
              <w:rPr/>
              <w:t>types</w:t>
            </w:r>
            <w:r>
              <w:rPr>
                <w:spacing w:val="-2"/>
              </w:rPr>
              <w:t> </w:t>
            </w:r>
            <w:r>
              <w:rPr/>
              <w:t>d’eau</w:t>
            </w:r>
            <w:r>
              <w:rPr>
                <w:spacing w:val="-1"/>
              </w:rPr>
              <w:t> </w:t>
            </w:r>
            <w:r>
              <w:rPr/>
              <w:t>douce</w:t>
              <w:tab/>
              <w:t>4</w:t>
            </w:r>
          </w:hyperlink>
        </w:p>
        <w:p>
          <w:pPr>
            <w:pStyle w:val="TOC4"/>
            <w:numPr>
              <w:ilvl w:val="3"/>
              <w:numId w:val="1"/>
            </w:numPr>
            <w:tabs>
              <w:tab w:pos="1851" w:val="left" w:leader="none"/>
              <w:tab w:pos="8968" w:val="right" w:leader="dot"/>
            </w:tabs>
            <w:spacing w:line="240" w:lineRule="auto" w:before="144" w:after="0"/>
            <w:ind w:left="1850" w:right="0" w:hanging="735"/>
            <w:jc w:val="left"/>
          </w:pPr>
          <w:hyperlink w:history="true" w:anchor="_TOC_250076">
            <w:r>
              <w:rPr/>
              <w:t>Eaux</w:t>
            </w:r>
            <w:r>
              <w:rPr>
                <w:spacing w:val="-1"/>
              </w:rPr>
              <w:t> </w:t>
            </w:r>
            <w:r>
              <w:rPr/>
              <w:t>de</w:t>
            </w:r>
            <w:r>
              <w:rPr>
                <w:spacing w:val="1"/>
              </w:rPr>
              <w:t> </w:t>
            </w:r>
            <w:r>
              <w:rPr/>
              <w:t>surface</w:t>
              <w:tab/>
              <w:t>4</w:t>
            </w:r>
          </w:hyperlink>
        </w:p>
        <w:p>
          <w:pPr>
            <w:pStyle w:val="TOC4"/>
            <w:numPr>
              <w:ilvl w:val="3"/>
              <w:numId w:val="1"/>
            </w:numPr>
            <w:tabs>
              <w:tab w:pos="1851" w:val="left" w:leader="none"/>
              <w:tab w:pos="8968" w:val="right" w:leader="dot"/>
            </w:tabs>
            <w:spacing w:line="240" w:lineRule="auto" w:before="140" w:after="0"/>
            <w:ind w:left="1850" w:right="0" w:hanging="735"/>
            <w:jc w:val="left"/>
          </w:pPr>
          <w:hyperlink w:history="true" w:anchor="_TOC_250075">
            <w:r>
              <w:rPr/>
              <w:t>Eaux</w:t>
            </w:r>
            <w:r>
              <w:rPr>
                <w:spacing w:val="-1"/>
              </w:rPr>
              <w:t> </w:t>
            </w:r>
            <w:r>
              <w:rPr/>
              <w:t>souterraines</w:t>
              <w:tab/>
              <w:t>4</w:t>
            </w:r>
          </w:hyperlink>
        </w:p>
        <w:p>
          <w:pPr>
            <w:pStyle w:val="TOC2"/>
            <w:numPr>
              <w:ilvl w:val="1"/>
              <w:numId w:val="1"/>
            </w:numPr>
            <w:tabs>
              <w:tab w:pos="1060" w:val="left" w:leader="none"/>
              <w:tab w:pos="8968" w:val="right" w:leader="dot"/>
            </w:tabs>
            <w:spacing w:line="240" w:lineRule="auto" w:before="139" w:after="0"/>
            <w:ind w:left="1059" w:right="0" w:hanging="384"/>
            <w:jc w:val="left"/>
          </w:pPr>
          <w:hyperlink w:history="true" w:anchor="_TOC_250074">
            <w:r>
              <w:rPr>
                <w:spacing w:val="-6"/>
              </w:rPr>
              <w:t>La </w:t>
            </w:r>
            <w:r>
              <w:rPr/>
              <w:t>qualité</w:t>
            </w:r>
            <w:r>
              <w:rPr>
                <w:spacing w:val="8"/>
              </w:rPr>
              <w:t> </w:t>
            </w:r>
            <w:r>
              <w:rPr/>
              <w:t>des</w:t>
            </w:r>
            <w:r>
              <w:rPr>
                <w:spacing w:val="-2"/>
              </w:rPr>
              <w:t> </w:t>
            </w:r>
            <w:r>
              <w:rPr/>
              <w:t>eaux</w:t>
              <w:tab/>
              <w:t>6</w:t>
            </w:r>
          </w:hyperlink>
        </w:p>
        <w:p>
          <w:pPr>
            <w:pStyle w:val="TOC3"/>
            <w:numPr>
              <w:ilvl w:val="2"/>
              <w:numId w:val="1"/>
            </w:numPr>
            <w:tabs>
              <w:tab w:pos="1452" w:val="left" w:leader="none"/>
              <w:tab w:pos="8968" w:val="right" w:leader="dot"/>
            </w:tabs>
            <w:spacing w:line="240" w:lineRule="auto" w:before="145" w:after="0"/>
            <w:ind w:left="1451" w:right="0" w:hanging="556"/>
            <w:jc w:val="left"/>
          </w:pPr>
          <w:hyperlink w:history="true" w:anchor="_TOC_250073">
            <w:r>
              <w:rPr/>
              <w:t>Qualité de</w:t>
            </w:r>
            <w:r>
              <w:rPr>
                <w:spacing w:val="1"/>
              </w:rPr>
              <w:t> </w:t>
            </w:r>
            <w:r>
              <w:rPr/>
              <w:t>l’eau</w:t>
            </w:r>
            <w:r>
              <w:rPr>
                <w:spacing w:val="-1"/>
              </w:rPr>
              <w:t> </w:t>
            </w:r>
            <w:r>
              <w:rPr/>
              <w:t>d’alimentation</w:t>
              <w:tab/>
              <w:t>6</w:t>
            </w:r>
          </w:hyperlink>
        </w:p>
        <w:p>
          <w:pPr>
            <w:pStyle w:val="TOC3"/>
            <w:numPr>
              <w:ilvl w:val="2"/>
              <w:numId w:val="1"/>
            </w:numPr>
            <w:tabs>
              <w:tab w:pos="1452" w:val="left" w:leader="none"/>
              <w:tab w:pos="8968" w:val="right" w:leader="dot"/>
            </w:tabs>
            <w:spacing w:line="240" w:lineRule="auto" w:before="139" w:after="0"/>
            <w:ind w:left="1451" w:right="0" w:hanging="556"/>
            <w:jc w:val="left"/>
          </w:pPr>
          <w:hyperlink w:history="true" w:anchor="_TOC_250072">
            <w:r>
              <w:rPr/>
              <w:t>Qualité des</w:t>
            </w:r>
            <w:r>
              <w:rPr>
                <w:spacing w:val="-2"/>
              </w:rPr>
              <w:t> </w:t>
            </w:r>
            <w:r>
              <w:rPr/>
              <w:t>eaux</w:t>
            </w:r>
            <w:r>
              <w:rPr>
                <w:spacing w:val="-1"/>
              </w:rPr>
              <w:t> </w:t>
            </w:r>
            <w:r>
              <w:rPr/>
              <w:t>souterraines</w:t>
              <w:tab/>
              <w:t>6</w:t>
            </w:r>
          </w:hyperlink>
        </w:p>
        <w:p>
          <w:pPr>
            <w:pStyle w:val="TOC3"/>
            <w:numPr>
              <w:ilvl w:val="2"/>
              <w:numId w:val="1"/>
            </w:numPr>
            <w:tabs>
              <w:tab w:pos="1452" w:val="left" w:leader="none"/>
              <w:tab w:pos="8968" w:val="right" w:leader="dot"/>
            </w:tabs>
            <w:spacing w:line="240" w:lineRule="auto" w:before="140" w:after="0"/>
            <w:ind w:left="1451" w:right="0" w:hanging="556"/>
            <w:jc w:val="left"/>
          </w:pPr>
          <w:hyperlink w:history="true" w:anchor="_TOC_250071">
            <w:r>
              <w:rPr/>
              <w:t>Principales origines de la pollution des</w:t>
            </w:r>
            <w:r>
              <w:rPr>
                <w:spacing w:val="-8"/>
              </w:rPr>
              <w:t> </w:t>
            </w:r>
            <w:r>
              <w:rPr/>
              <w:t>eaux</w:t>
            </w:r>
            <w:r>
              <w:rPr>
                <w:spacing w:val="-1"/>
              </w:rPr>
              <w:t> </w:t>
            </w:r>
            <w:r>
              <w:rPr/>
              <w:t>souterraines</w:t>
              <w:tab/>
              <w:t>6</w:t>
            </w:r>
          </w:hyperlink>
        </w:p>
        <w:p>
          <w:pPr>
            <w:pStyle w:val="TOC2"/>
            <w:numPr>
              <w:ilvl w:val="1"/>
              <w:numId w:val="1"/>
            </w:numPr>
            <w:tabs>
              <w:tab w:pos="1060" w:val="left" w:leader="none"/>
              <w:tab w:pos="8968" w:val="right" w:leader="dot"/>
            </w:tabs>
            <w:spacing w:line="240" w:lineRule="auto" w:before="144" w:after="0"/>
            <w:ind w:left="1059" w:right="0" w:hanging="384"/>
            <w:jc w:val="left"/>
          </w:pPr>
          <w:hyperlink w:history="true" w:anchor="_TOC_250070">
            <w:r>
              <w:rPr>
                <w:spacing w:val="-2"/>
              </w:rPr>
              <w:t>Les </w:t>
            </w:r>
            <w:r>
              <w:rPr/>
              <w:t>risques sanitaires liés</w:t>
            </w:r>
            <w:r>
              <w:rPr>
                <w:spacing w:val="-6"/>
              </w:rPr>
              <w:t> </w:t>
            </w:r>
            <w:r>
              <w:rPr/>
              <w:t>à</w:t>
            </w:r>
            <w:r>
              <w:rPr>
                <w:spacing w:val="1"/>
              </w:rPr>
              <w:t> </w:t>
            </w:r>
            <w:r>
              <w:rPr/>
              <w:t>l’eau</w:t>
              <w:tab/>
              <w:t>7</w:t>
            </w:r>
          </w:hyperlink>
        </w:p>
        <w:p>
          <w:pPr>
            <w:pStyle w:val="TOC3"/>
            <w:numPr>
              <w:ilvl w:val="2"/>
              <w:numId w:val="1"/>
            </w:numPr>
            <w:tabs>
              <w:tab w:pos="1459" w:val="left" w:leader="none"/>
              <w:tab w:pos="8968" w:val="right" w:leader="dot"/>
            </w:tabs>
            <w:spacing w:line="240" w:lineRule="auto" w:before="140" w:after="0"/>
            <w:ind w:left="1458" w:right="0" w:hanging="563"/>
            <w:jc w:val="left"/>
          </w:pPr>
          <w:hyperlink w:history="true" w:anchor="_TOC_250069">
            <w:r>
              <w:rPr>
                <w:spacing w:val="-2"/>
              </w:rPr>
              <w:t>Les </w:t>
            </w:r>
            <w:r>
              <w:rPr/>
              <w:t>bactéries indicatrices de</w:t>
            </w:r>
            <w:r>
              <w:rPr>
                <w:spacing w:val="-4"/>
              </w:rPr>
              <w:t> </w:t>
            </w:r>
            <w:r>
              <w:rPr/>
              <w:t>contamination</w:t>
            </w:r>
            <w:r>
              <w:rPr>
                <w:spacing w:val="-2"/>
              </w:rPr>
              <w:t> </w:t>
            </w:r>
            <w:r>
              <w:rPr/>
              <w:t>fécale</w:t>
              <w:tab/>
              <w:t>7</w:t>
            </w:r>
          </w:hyperlink>
        </w:p>
        <w:p>
          <w:pPr>
            <w:pStyle w:val="TOC4"/>
            <w:numPr>
              <w:ilvl w:val="3"/>
              <w:numId w:val="1"/>
            </w:numPr>
            <w:tabs>
              <w:tab w:pos="1851" w:val="left" w:leader="none"/>
              <w:tab w:pos="8968" w:val="right" w:leader="dot"/>
            </w:tabs>
            <w:spacing w:line="240" w:lineRule="auto" w:before="140" w:after="0"/>
            <w:ind w:left="1850" w:right="0" w:hanging="735"/>
            <w:jc w:val="left"/>
          </w:pPr>
          <w:hyperlink w:history="true" w:anchor="_TOC_250068">
            <w:r>
              <w:rPr/>
              <w:t>Coliformes</w:t>
            </w:r>
            <w:r>
              <w:rPr>
                <w:spacing w:val="-2"/>
              </w:rPr>
              <w:t> </w:t>
            </w:r>
            <w:r>
              <w:rPr/>
              <w:t>totaux</w:t>
            </w:r>
            <w:r>
              <w:rPr>
                <w:spacing w:val="-1"/>
              </w:rPr>
              <w:t> </w:t>
            </w:r>
            <w:r>
              <w:rPr/>
              <w:t>(CT)</w:t>
              <w:tab/>
              <w:t>7</w:t>
            </w:r>
          </w:hyperlink>
        </w:p>
        <w:p>
          <w:pPr>
            <w:pStyle w:val="TOC4"/>
            <w:numPr>
              <w:ilvl w:val="3"/>
              <w:numId w:val="1"/>
            </w:numPr>
            <w:tabs>
              <w:tab w:pos="1792" w:val="left" w:leader="none"/>
              <w:tab w:pos="8968" w:val="right" w:leader="dot"/>
            </w:tabs>
            <w:spacing w:line="240" w:lineRule="auto" w:before="143" w:after="0"/>
            <w:ind w:left="1791" w:right="0" w:hanging="676"/>
            <w:jc w:val="left"/>
          </w:pPr>
          <w:hyperlink w:history="true" w:anchor="_TOC_250067">
            <w:r>
              <w:rPr/>
              <w:t>Coliformes fécaux </w:t>
            </w:r>
            <w:r>
              <w:rPr>
                <w:spacing w:val="-3"/>
              </w:rPr>
              <w:t>(CF) </w:t>
            </w:r>
            <w:r>
              <w:rPr/>
              <w:t>ou coliformes thermo</w:t>
            </w:r>
            <w:r>
              <w:rPr>
                <w:spacing w:val="-8"/>
              </w:rPr>
              <w:t> </w:t>
            </w:r>
            <w:r>
              <w:rPr/>
              <w:t>tolérants</w:t>
            </w:r>
            <w:r>
              <w:rPr>
                <w:spacing w:val="-1"/>
              </w:rPr>
              <w:t> </w:t>
            </w:r>
            <w:r>
              <w:rPr/>
              <w:t>(CTT)</w:t>
              <w:tab/>
              <w:t>8</w:t>
            </w:r>
          </w:hyperlink>
        </w:p>
        <w:p>
          <w:pPr>
            <w:pStyle w:val="TOC4"/>
            <w:numPr>
              <w:ilvl w:val="3"/>
              <w:numId w:val="1"/>
            </w:numPr>
            <w:tabs>
              <w:tab w:pos="1859" w:val="left" w:leader="none"/>
              <w:tab w:pos="8968" w:val="right" w:leader="dot"/>
            </w:tabs>
            <w:spacing w:line="240" w:lineRule="auto" w:before="140" w:after="0"/>
            <w:ind w:left="1858" w:right="0" w:hanging="743"/>
            <w:jc w:val="left"/>
          </w:pPr>
          <w:hyperlink w:history="true" w:anchor="_TOC_250066">
            <w:r>
              <w:rPr>
                <w:spacing w:val="-2"/>
              </w:rPr>
              <w:t>Les </w:t>
            </w:r>
            <w:r>
              <w:rPr/>
              <w:t>streptocoques</w:t>
            </w:r>
            <w:r>
              <w:rPr>
                <w:spacing w:val="-2"/>
              </w:rPr>
              <w:t> </w:t>
            </w:r>
            <w:r>
              <w:rPr/>
              <w:t>fécaux</w:t>
              <w:tab/>
              <w:t>9</w:t>
            </w:r>
          </w:hyperlink>
        </w:p>
        <w:p>
          <w:pPr>
            <w:pStyle w:val="TOC3"/>
            <w:numPr>
              <w:ilvl w:val="2"/>
              <w:numId w:val="1"/>
            </w:numPr>
            <w:tabs>
              <w:tab w:pos="1455" w:val="left" w:leader="none"/>
              <w:tab w:pos="8968" w:val="right" w:leader="dot"/>
            </w:tabs>
            <w:spacing w:line="240" w:lineRule="auto" w:before="140" w:after="0"/>
            <w:ind w:left="1454" w:right="0" w:hanging="559"/>
            <w:jc w:val="left"/>
          </w:pPr>
          <w:r>
            <w:rPr/>
            <w:t>Bactéries</w:t>
          </w:r>
          <w:r>
            <w:rPr>
              <w:spacing w:val="-3"/>
            </w:rPr>
            <w:t> </w:t>
          </w:r>
          <w:r>
            <w:rPr/>
            <w:t>pathogènes</w:t>
            <w:tab/>
            <w:t>9</w:t>
          </w:r>
        </w:p>
        <w:p>
          <w:pPr>
            <w:pStyle w:val="TOC4"/>
            <w:tabs>
              <w:tab w:pos="8968" w:val="right" w:leader="dot"/>
            </w:tabs>
            <w:spacing w:before="144"/>
            <w:ind w:left="1115" w:firstLine="0"/>
          </w:pPr>
          <w:r>
            <w:rPr/>
            <w:t>I.4.2.</w:t>
          </w:r>
          <w:r>
            <w:rPr>
              <w:spacing w:val="-2"/>
            </w:rPr>
            <w:t> </w:t>
          </w:r>
          <w:r>
            <w:rPr/>
            <w:t>1.</w:t>
          </w:r>
          <w:r>
            <w:rPr>
              <w:spacing w:val="-1"/>
            </w:rPr>
            <w:t> </w:t>
          </w:r>
          <w:r>
            <w:rPr/>
            <w:t>Shigella</w:t>
            <w:tab/>
            <w:t>9</w:t>
          </w:r>
        </w:p>
        <w:p>
          <w:pPr>
            <w:pStyle w:val="TOC4"/>
            <w:tabs>
              <w:tab w:pos="8968" w:val="right" w:leader="dot"/>
            </w:tabs>
            <w:ind w:left="1115" w:firstLine="0"/>
          </w:pPr>
          <w:r>
            <w:rPr/>
            <w:t>I.4.</w:t>
          </w:r>
          <w:r>
            <w:rPr>
              <w:spacing w:val="-2"/>
            </w:rPr>
            <w:t> </w:t>
          </w:r>
          <w:r>
            <w:rPr/>
            <w:t>2.2.</w:t>
          </w:r>
          <w:r>
            <w:rPr>
              <w:spacing w:val="-1"/>
            </w:rPr>
            <w:t> </w:t>
          </w:r>
          <w:r>
            <w:rPr/>
            <w:t>Salmonella</w:t>
            <w:tab/>
            <w:t>9</w:t>
          </w:r>
        </w:p>
        <w:p>
          <w:pPr>
            <w:pStyle w:val="TOC4"/>
            <w:numPr>
              <w:ilvl w:val="1"/>
              <w:numId w:val="2"/>
            </w:numPr>
            <w:tabs>
              <w:tab w:pos="1492" w:val="left" w:leader="none"/>
              <w:tab w:pos="8968" w:val="right" w:leader="dot"/>
            </w:tabs>
            <w:spacing w:line="240" w:lineRule="auto" w:before="140" w:after="0"/>
            <w:ind w:left="1491" w:right="0" w:hanging="376"/>
            <w:jc w:val="left"/>
          </w:pPr>
          <w:r>
            <w:rPr/>
            <w:t>2.3.</w:t>
          </w:r>
          <w:r>
            <w:rPr>
              <w:spacing w:val="-2"/>
            </w:rPr>
            <w:t> </w:t>
          </w:r>
          <w:r>
            <w:rPr/>
            <w:t>Campylobacter</w:t>
            <w:tab/>
            <w:t>10</w:t>
          </w:r>
        </w:p>
        <w:p>
          <w:pPr>
            <w:pStyle w:val="TOC3"/>
            <w:numPr>
              <w:ilvl w:val="2"/>
              <w:numId w:val="2"/>
            </w:numPr>
            <w:tabs>
              <w:tab w:pos="1459" w:val="left" w:leader="none"/>
              <w:tab w:pos="8968" w:val="right" w:leader="dot"/>
            </w:tabs>
            <w:spacing w:line="240" w:lineRule="auto" w:before="144" w:after="0"/>
            <w:ind w:left="1458" w:right="0" w:hanging="563"/>
            <w:jc w:val="left"/>
          </w:pPr>
          <w:hyperlink w:history="true" w:anchor="_TOC_250065">
            <w:r>
              <w:rPr>
                <w:spacing w:val="-2"/>
              </w:rPr>
              <w:t>Les </w:t>
            </w:r>
            <w:r>
              <w:rPr/>
              <w:t>protozoaires</w:t>
              <w:tab/>
              <w:t>11</w:t>
            </w:r>
          </w:hyperlink>
        </w:p>
        <w:p>
          <w:pPr>
            <w:pStyle w:val="TOC3"/>
            <w:numPr>
              <w:ilvl w:val="2"/>
              <w:numId w:val="2"/>
            </w:numPr>
            <w:tabs>
              <w:tab w:pos="1459" w:val="left" w:leader="none"/>
              <w:tab w:pos="8968" w:val="right" w:leader="dot"/>
            </w:tabs>
            <w:spacing w:line="240" w:lineRule="auto" w:before="139" w:after="0"/>
            <w:ind w:left="1458" w:right="0" w:hanging="563"/>
            <w:jc w:val="left"/>
          </w:pPr>
          <w:hyperlink w:history="true" w:anchor="_TOC_250064">
            <w:r>
              <w:rPr>
                <w:spacing w:val="-2"/>
              </w:rPr>
              <w:t>Les</w:t>
            </w:r>
            <w:r>
              <w:rPr>
                <w:spacing w:val="1"/>
              </w:rPr>
              <w:t> </w:t>
            </w:r>
            <w:r>
              <w:rPr/>
              <w:t>virus</w:t>
              <w:tab/>
              <w:t>12</w:t>
            </w:r>
          </w:hyperlink>
        </w:p>
        <w:p>
          <w:pPr>
            <w:pStyle w:val="TOC3"/>
            <w:numPr>
              <w:ilvl w:val="2"/>
              <w:numId w:val="2"/>
            </w:numPr>
            <w:tabs>
              <w:tab w:pos="1452" w:val="left" w:leader="none"/>
              <w:tab w:pos="8968" w:val="right" w:leader="dot"/>
            </w:tabs>
            <w:spacing w:line="240" w:lineRule="auto" w:before="140" w:after="20"/>
            <w:ind w:left="1451" w:right="0" w:hanging="556"/>
            <w:jc w:val="left"/>
          </w:pPr>
          <w:hyperlink w:history="true" w:anchor="_TOC_250063">
            <w:r>
              <w:rPr/>
              <w:t>Maladies hydriques liées aux</w:t>
            </w:r>
            <w:r>
              <w:rPr>
                <w:spacing w:val="-8"/>
              </w:rPr>
              <w:t> </w:t>
            </w:r>
            <w:r>
              <w:rPr/>
              <w:t>éléments</w:t>
            </w:r>
            <w:r>
              <w:rPr>
                <w:spacing w:val="-3"/>
              </w:rPr>
              <w:t> </w:t>
            </w:r>
            <w:r>
              <w:rPr/>
              <w:t>chimiques</w:t>
              <w:tab/>
              <w:t>13</w:t>
            </w:r>
          </w:hyperlink>
        </w:p>
        <w:p>
          <w:pPr>
            <w:pStyle w:val="TOC3"/>
            <w:numPr>
              <w:ilvl w:val="2"/>
              <w:numId w:val="2"/>
            </w:numPr>
            <w:tabs>
              <w:tab w:pos="1399" w:val="left" w:leader="none"/>
              <w:tab w:pos="8968" w:val="right" w:leader="dot"/>
            </w:tabs>
            <w:spacing w:line="240" w:lineRule="auto" w:before="66" w:after="0"/>
            <w:ind w:left="1398" w:right="0" w:hanging="503"/>
            <w:jc w:val="left"/>
          </w:pPr>
          <w:hyperlink w:history="true" w:anchor="_TOC_250062">
            <w:r>
              <w:rPr>
                <w:spacing w:val="-6"/>
              </w:rPr>
              <w:t>La</w:t>
            </w:r>
            <w:r>
              <w:rPr>
                <w:spacing w:val="1"/>
              </w:rPr>
              <w:t> </w:t>
            </w:r>
            <w:r>
              <w:rPr/>
              <w:t>fluorose</w:t>
              <w:tab/>
              <w:t>14</w:t>
            </w:r>
          </w:hyperlink>
        </w:p>
        <w:p>
          <w:pPr>
            <w:pStyle w:val="TOC3"/>
            <w:numPr>
              <w:ilvl w:val="2"/>
              <w:numId w:val="2"/>
            </w:numPr>
            <w:tabs>
              <w:tab w:pos="1455" w:val="left" w:leader="none"/>
              <w:tab w:pos="8968" w:val="right" w:leader="dot"/>
            </w:tabs>
            <w:spacing w:line="240" w:lineRule="auto" w:before="144" w:after="0"/>
            <w:ind w:left="1454" w:right="0" w:hanging="559"/>
            <w:jc w:val="left"/>
          </w:pPr>
          <w:hyperlink w:history="true" w:anchor="_TOC_250061">
            <w:r>
              <w:rPr/>
              <w:t>Arsénicisme</w:t>
              <w:tab/>
              <w:t>14</w:t>
            </w:r>
          </w:hyperlink>
        </w:p>
        <w:p>
          <w:pPr>
            <w:pStyle w:val="TOC3"/>
            <w:numPr>
              <w:ilvl w:val="2"/>
              <w:numId w:val="2"/>
            </w:numPr>
            <w:tabs>
              <w:tab w:pos="1459" w:val="left" w:leader="none"/>
              <w:tab w:pos="8968" w:val="right" w:leader="dot"/>
            </w:tabs>
            <w:spacing w:line="240" w:lineRule="auto" w:before="140" w:after="0"/>
            <w:ind w:left="1458" w:right="0" w:hanging="563"/>
            <w:jc w:val="left"/>
          </w:pPr>
          <w:hyperlink w:history="true" w:anchor="_TOC_250060">
            <w:r>
              <w:rPr/>
              <w:t>L’insuffisance rénale</w:t>
              <w:tab/>
              <w:t>15</w:t>
            </w:r>
          </w:hyperlink>
        </w:p>
        <w:p>
          <w:pPr>
            <w:pStyle w:val="TOC3"/>
            <w:numPr>
              <w:ilvl w:val="2"/>
              <w:numId w:val="2"/>
            </w:numPr>
            <w:tabs>
              <w:tab w:pos="1459" w:val="left" w:leader="none"/>
              <w:tab w:pos="8968" w:val="right" w:leader="dot"/>
            </w:tabs>
            <w:spacing w:line="240" w:lineRule="auto" w:before="139" w:after="0"/>
            <w:ind w:left="1458" w:right="0" w:hanging="563"/>
            <w:jc w:val="left"/>
          </w:pPr>
          <w:hyperlink w:history="true" w:anchor="_TOC_250059">
            <w:r>
              <w:rPr>
                <w:spacing w:val="-6"/>
              </w:rPr>
              <w:t>La</w:t>
            </w:r>
            <w:r>
              <w:rPr/>
              <w:t> méthémoglobinémie</w:t>
              <w:tab/>
              <w:t>15</w:t>
            </w:r>
          </w:hyperlink>
        </w:p>
        <w:p>
          <w:pPr>
            <w:pStyle w:val="TOC2"/>
            <w:numPr>
              <w:ilvl w:val="1"/>
              <w:numId w:val="2"/>
            </w:numPr>
            <w:tabs>
              <w:tab w:pos="1052" w:val="left" w:leader="none"/>
              <w:tab w:pos="8968" w:val="right" w:leader="dot"/>
            </w:tabs>
            <w:spacing w:line="240" w:lineRule="auto" w:before="145" w:after="0"/>
            <w:ind w:left="1051" w:right="0" w:hanging="376"/>
            <w:jc w:val="left"/>
          </w:pPr>
          <w:hyperlink w:history="true" w:anchor="_TOC_250058">
            <w:r>
              <w:rPr/>
              <w:t>Critères</w:t>
            </w:r>
            <w:r>
              <w:rPr>
                <w:spacing w:val="-3"/>
              </w:rPr>
              <w:t> </w:t>
            </w:r>
            <w:r>
              <w:rPr/>
              <w:t>de</w:t>
            </w:r>
            <w:r>
              <w:rPr>
                <w:spacing w:val="1"/>
              </w:rPr>
              <w:t> </w:t>
            </w:r>
            <w:r>
              <w:rPr/>
              <w:t>potabilité</w:t>
              <w:tab/>
              <w:t>15</w:t>
            </w:r>
          </w:hyperlink>
        </w:p>
        <w:p>
          <w:pPr>
            <w:pStyle w:val="TOC2"/>
            <w:numPr>
              <w:ilvl w:val="1"/>
              <w:numId w:val="2"/>
            </w:numPr>
            <w:tabs>
              <w:tab w:pos="993" w:val="left" w:leader="none"/>
              <w:tab w:pos="8968" w:val="right" w:leader="dot"/>
            </w:tabs>
            <w:spacing w:line="240" w:lineRule="auto" w:before="140" w:after="0"/>
            <w:ind w:left="992" w:right="0" w:hanging="317"/>
            <w:jc w:val="left"/>
          </w:pPr>
          <w:hyperlink w:history="true" w:anchor="_TOC_250057">
            <w:r>
              <w:rPr/>
              <w:t>Traitement</w:t>
            </w:r>
            <w:r>
              <w:rPr>
                <w:spacing w:val="-1"/>
              </w:rPr>
              <w:t> </w:t>
            </w:r>
            <w:r>
              <w:rPr/>
              <w:t>des</w:t>
            </w:r>
            <w:r>
              <w:rPr>
                <w:spacing w:val="-2"/>
              </w:rPr>
              <w:t> </w:t>
            </w:r>
            <w:r>
              <w:rPr/>
              <w:t>eaux</w:t>
              <w:tab/>
              <w:t>16</w:t>
            </w:r>
          </w:hyperlink>
        </w:p>
        <w:p>
          <w:pPr>
            <w:pStyle w:val="TOC5"/>
          </w:pPr>
          <w:r>
            <w:rPr/>
            <w:t>Chapitre II: Description de la zone d’étude</w:t>
          </w:r>
        </w:p>
        <w:p>
          <w:pPr>
            <w:pStyle w:val="TOC2"/>
            <w:numPr>
              <w:ilvl w:val="1"/>
              <w:numId w:val="3"/>
            </w:numPr>
            <w:tabs>
              <w:tab w:pos="1132" w:val="left" w:leader="none"/>
              <w:tab w:pos="8968" w:val="right" w:leader="dot"/>
            </w:tabs>
            <w:spacing w:line="240" w:lineRule="auto" w:before="552" w:after="0"/>
            <w:ind w:left="1131" w:right="0" w:hanging="456"/>
            <w:jc w:val="left"/>
          </w:pPr>
          <w:hyperlink w:history="true" w:anchor="_TOC_250056">
            <w:r>
              <w:rPr/>
              <w:t>Présentation de la région</w:t>
            </w:r>
            <w:r>
              <w:rPr>
                <w:spacing w:val="-1"/>
              </w:rPr>
              <w:t> </w:t>
            </w:r>
            <w:r>
              <w:rPr/>
              <w:t>de</w:t>
            </w:r>
            <w:r>
              <w:rPr>
                <w:spacing w:val="1"/>
              </w:rPr>
              <w:t> </w:t>
            </w:r>
            <w:r>
              <w:rPr/>
              <w:t>Guelma</w:t>
              <w:tab/>
              <w:t>18</w:t>
            </w:r>
          </w:hyperlink>
        </w:p>
        <w:p>
          <w:pPr>
            <w:pStyle w:val="TOC3"/>
            <w:numPr>
              <w:ilvl w:val="2"/>
              <w:numId w:val="3"/>
            </w:numPr>
            <w:tabs>
              <w:tab w:pos="1531" w:val="left" w:leader="none"/>
              <w:tab w:pos="8968" w:val="right" w:leader="dot"/>
            </w:tabs>
            <w:spacing w:line="240" w:lineRule="auto" w:before="144" w:after="0"/>
            <w:ind w:left="1530" w:right="0" w:hanging="635"/>
            <w:jc w:val="left"/>
          </w:pPr>
          <w:hyperlink w:history="true" w:anchor="_TOC_250055">
            <w:r>
              <w:rPr/>
              <w:t>Situation</w:t>
            </w:r>
            <w:r>
              <w:rPr>
                <w:spacing w:val="-2"/>
              </w:rPr>
              <w:t> </w:t>
            </w:r>
            <w:r>
              <w:rPr/>
              <w:t>géographique</w:t>
              <w:tab/>
              <w:t>18</w:t>
            </w:r>
          </w:hyperlink>
        </w:p>
        <w:p>
          <w:pPr>
            <w:pStyle w:val="TOC3"/>
            <w:numPr>
              <w:ilvl w:val="2"/>
              <w:numId w:val="3"/>
            </w:numPr>
            <w:tabs>
              <w:tab w:pos="1535" w:val="left" w:leader="none"/>
              <w:tab w:pos="8968" w:val="right" w:leader="dot"/>
            </w:tabs>
            <w:spacing w:line="240" w:lineRule="auto" w:before="140" w:after="0"/>
            <w:ind w:left="1534" w:right="0" w:hanging="639"/>
            <w:jc w:val="left"/>
          </w:pPr>
          <w:hyperlink w:history="true" w:anchor="_TOC_250054">
            <w:r>
              <w:rPr/>
              <w:t>Hydrologie</w:t>
              <w:tab/>
              <w:t>19</w:t>
            </w:r>
          </w:hyperlink>
        </w:p>
        <w:p>
          <w:pPr>
            <w:pStyle w:val="TOC4"/>
            <w:tabs>
              <w:tab w:pos="8968" w:val="right" w:leader="dot"/>
            </w:tabs>
            <w:spacing w:before="139"/>
            <w:ind w:left="1115" w:firstLine="0"/>
          </w:pPr>
          <w:hyperlink w:history="true" w:anchor="_TOC_250053">
            <w:r>
              <w:rPr/>
              <w:t>II. 1.2.1.</w:t>
            </w:r>
            <w:r>
              <w:rPr>
                <w:spacing w:val="5"/>
              </w:rPr>
              <w:t> </w:t>
            </w:r>
            <w:r>
              <w:rPr>
                <w:spacing w:val="-2"/>
              </w:rPr>
              <w:t>Les </w:t>
            </w:r>
            <w:r>
              <w:rPr/>
              <w:t>forages</w:t>
              <w:tab/>
              <w:t>19</w:t>
            </w:r>
          </w:hyperlink>
        </w:p>
        <w:p>
          <w:pPr>
            <w:pStyle w:val="TOC4"/>
            <w:numPr>
              <w:ilvl w:val="3"/>
              <w:numId w:val="3"/>
            </w:numPr>
            <w:tabs>
              <w:tab w:pos="1939" w:val="left" w:leader="none"/>
              <w:tab w:pos="8968" w:val="right" w:leader="dot"/>
            </w:tabs>
            <w:spacing w:line="240" w:lineRule="auto" w:before="144" w:after="0"/>
            <w:ind w:left="1938" w:right="0" w:hanging="823"/>
            <w:jc w:val="left"/>
          </w:pPr>
          <w:hyperlink w:history="true" w:anchor="_TOC_250052">
            <w:r>
              <w:rPr>
                <w:spacing w:val="-2"/>
              </w:rPr>
              <w:t>Les </w:t>
            </w:r>
            <w:r>
              <w:rPr/>
              <w:t>puits</w:t>
              <w:tab/>
              <w:t>19</w:t>
            </w:r>
          </w:hyperlink>
        </w:p>
        <w:p>
          <w:pPr>
            <w:pStyle w:val="TOC4"/>
            <w:numPr>
              <w:ilvl w:val="3"/>
              <w:numId w:val="3"/>
            </w:numPr>
            <w:tabs>
              <w:tab w:pos="1939" w:val="left" w:leader="none"/>
              <w:tab w:pos="8968" w:val="right" w:leader="dot"/>
            </w:tabs>
            <w:spacing w:line="240" w:lineRule="auto" w:before="140" w:after="0"/>
            <w:ind w:left="1938" w:right="0" w:hanging="823"/>
            <w:jc w:val="left"/>
          </w:pPr>
          <w:hyperlink w:history="true" w:anchor="_TOC_250051">
            <w:r>
              <w:rPr>
                <w:spacing w:val="-2"/>
              </w:rPr>
              <w:t>Les </w:t>
            </w:r>
            <w:r>
              <w:rPr/>
              <w:t>sources</w:t>
              <w:tab/>
              <w:t>19</w:t>
            </w:r>
          </w:hyperlink>
        </w:p>
        <w:p>
          <w:pPr>
            <w:pStyle w:val="TOC3"/>
            <w:numPr>
              <w:ilvl w:val="2"/>
              <w:numId w:val="3"/>
            </w:numPr>
            <w:tabs>
              <w:tab w:pos="1531" w:val="left" w:leader="none"/>
              <w:tab w:pos="8968" w:val="right" w:leader="dot"/>
            </w:tabs>
            <w:spacing w:line="240" w:lineRule="auto" w:before="140" w:after="0"/>
            <w:ind w:left="1530" w:right="0" w:hanging="635"/>
            <w:jc w:val="left"/>
          </w:pPr>
          <w:hyperlink w:history="true" w:anchor="_TOC_250050">
            <w:r>
              <w:rPr/>
              <w:t>Couverture végétale</w:t>
              <w:tab/>
              <w:t>19</w:t>
            </w:r>
          </w:hyperlink>
        </w:p>
        <w:p>
          <w:pPr>
            <w:pStyle w:val="TOC2"/>
            <w:numPr>
              <w:ilvl w:val="1"/>
              <w:numId w:val="3"/>
            </w:numPr>
            <w:tabs>
              <w:tab w:pos="1132" w:val="left" w:leader="none"/>
              <w:tab w:pos="8968" w:val="right" w:leader="dot"/>
            </w:tabs>
            <w:spacing w:line="240" w:lineRule="auto" w:before="144" w:after="0"/>
            <w:ind w:left="1131" w:right="0" w:hanging="456"/>
            <w:jc w:val="left"/>
          </w:pPr>
          <w:hyperlink w:history="true" w:anchor="_TOC_250049">
            <w:r>
              <w:rPr/>
              <w:t>Climatologie</w:t>
              <w:tab/>
              <w:t>19</w:t>
            </w:r>
          </w:hyperlink>
        </w:p>
        <w:p>
          <w:pPr>
            <w:pStyle w:val="TOC3"/>
            <w:numPr>
              <w:ilvl w:val="2"/>
              <w:numId w:val="3"/>
            </w:numPr>
            <w:tabs>
              <w:tab w:pos="1531" w:val="left" w:leader="none"/>
              <w:tab w:pos="8968" w:val="right" w:leader="dot"/>
            </w:tabs>
            <w:spacing w:line="240" w:lineRule="auto" w:before="139" w:after="0"/>
            <w:ind w:left="1530" w:right="0" w:hanging="635"/>
            <w:jc w:val="left"/>
          </w:pPr>
          <w:hyperlink w:history="true" w:anchor="_TOC_250048">
            <w:r>
              <w:rPr/>
              <w:t>Pluviométrie</w:t>
              <w:tab/>
              <w:t>20</w:t>
            </w:r>
          </w:hyperlink>
        </w:p>
        <w:p>
          <w:pPr>
            <w:pStyle w:val="TOC4"/>
            <w:numPr>
              <w:ilvl w:val="3"/>
              <w:numId w:val="4"/>
            </w:numPr>
            <w:tabs>
              <w:tab w:pos="1931" w:val="left" w:leader="none"/>
              <w:tab w:pos="8968" w:val="right" w:leader="dot"/>
            </w:tabs>
            <w:spacing w:line="240" w:lineRule="auto" w:before="140" w:after="0"/>
            <w:ind w:left="1930" w:right="0" w:hanging="815"/>
            <w:jc w:val="left"/>
          </w:pPr>
          <w:hyperlink w:history="true" w:anchor="_TOC_250047">
            <w:r>
              <w:rPr/>
              <w:t>Précipitations</w:t>
            </w:r>
            <w:r>
              <w:rPr>
                <w:spacing w:val="-3"/>
              </w:rPr>
              <w:t> </w:t>
            </w:r>
            <w:r>
              <w:rPr/>
              <w:t>annuelles</w:t>
              <w:tab/>
              <w:t>20</w:t>
            </w:r>
          </w:hyperlink>
        </w:p>
        <w:p>
          <w:pPr>
            <w:pStyle w:val="TOC4"/>
            <w:numPr>
              <w:ilvl w:val="3"/>
              <w:numId w:val="4"/>
            </w:numPr>
            <w:tabs>
              <w:tab w:pos="1931" w:val="left" w:leader="none"/>
              <w:tab w:pos="8968" w:val="right" w:leader="dot"/>
            </w:tabs>
            <w:spacing w:line="240" w:lineRule="auto" w:before="145" w:after="0"/>
            <w:ind w:left="1930" w:right="0" w:hanging="815"/>
            <w:jc w:val="left"/>
          </w:pPr>
          <w:hyperlink w:history="true" w:anchor="_TOC_250046">
            <w:r>
              <w:rPr/>
              <w:t>Précipitations</w:t>
            </w:r>
            <w:r>
              <w:rPr>
                <w:spacing w:val="-3"/>
              </w:rPr>
              <w:t> </w:t>
            </w:r>
            <w:r>
              <w:rPr/>
              <w:t>mensuelles</w:t>
              <w:tab/>
              <w:t>20</w:t>
            </w:r>
          </w:hyperlink>
        </w:p>
        <w:p>
          <w:pPr>
            <w:pStyle w:val="TOC3"/>
            <w:numPr>
              <w:ilvl w:val="2"/>
              <w:numId w:val="3"/>
            </w:numPr>
            <w:tabs>
              <w:tab w:pos="1539" w:val="left" w:leader="none"/>
              <w:tab w:pos="8968" w:val="right" w:leader="dot"/>
            </w:tabs>
            <w:spacing w:line="240" w:lineRule="auto" w:before="139" w:after="0"/>
            <w:ind w:left="1538" w:right="0" w:hanging="643"/>
            <w:jc w:val="left"/>
          </w:pPr>
          <w:hyperlink w:history="true" w:anchor="_TOC_250045">
            <w:r>
              <w:rPr>
                <w:spacing w:val="-6"/>
              </w:rPr>
              <w:t>La</w:t>
            </w:r>
            <w:r>
              <w:rPr>
                <w:spacing w:val="1"/>
              </w:rPr>
              <w:t> </w:t>
            </w:r>
            <w:r>
              <w:rPr/>
              <w:t>Température</w:t>
              <w:tab/>
              <w:t>21</w:t>
            </w:r>
          </w:hyperlink>
        </w:p>
        <w:p>
          <w:pPr>
            <w:pStyle w:val="TOC4"/>
            <w:numPr>
              <w:ilvl w:val="3"/>
              <w:numId w:val="5"/>
            </w:numPr>
            <w:tabs>
              <w:tab w:pos="1939" w:val="left" w:leader="none"/>
              <w:tab w:pos="8968" w:val="right" w:leader="dot"/>
            </w:tabs>
            <w:spacing w:line="240" w:lineRule="auto" w:before="140" w:after="0"/>
            <w:ind w:left="1938" w:right="0" w:hanging="823"/>
            <w:jc w:val="left"/>
          </w:pPr>
          <w:hyperlink w:history="true" w:anchor="_TOC_250044">
            <w:r>
              <w:rPr>
                <w:spacing w:val="-2"/>
              </w:rPr>
              <w:t>Les </w:t>
            </w:r>
            <w:r>
              <w:rPr/>
              <w:t>températures</w:t>
            </w:r>
            <w:r>
              <w:rPr>
                <w:spacing w:val="-3"/>
              </w:rPr>
              <w:t> </w:t>
            </w:r>
            <w:r>
              <w:rPr/>
              <w:t>moyennes</w:t>
            </w:r>
            <w:r>
              <w:rPr>
                <w:spacing w:val="-2"/>
              </w:rPr>
              <w:t> </w:t>
            </w:r>
            <w:r>
              <w:rPr/>
              <w:t>annuelles</w:t>
              <w:tab/>
              <w:t>21</w:t>
            </w:r>
          </w:hyperlink>
        </w:p>
        <w:p>
          <w:pPr>
            <w:pStyle w:val="TOC4"/>
            <w:numPr>
              <w:ilvl w:val="3"/>
              <w:numId w:val="5"/>
            </w:numPr>
            <w:tabs>
              <w:tab w:pos="1939" w:val="left" w:leader="none"/>
              <w:tab w:pos="8968" w:val="right" w:leader="dot"/>
            </w:tabs>
            <w:spacing w:line="240" w:lineRule="auto" w:before="144" w:after="0"/>
            <w:ind w:left="1938" w:right="0" w:hanging="823"/>
            <w:jc w:val="left"/>
          </w:pPr>
          <w:hyperlink w:history="true" w:anchor="_TOC_250043">
            <w:r>
              <w:rPr>
                <w:spacing w:val="-2"/>
              </w:rPr>
              <w:t>Les </w:t>
            </w:r>
            <w:r>
              <w:rPr/>
              <w:t>températures</w:t>
            </w:r>
            <w:r>
              <w:rPr>
                <w:spacing w:val="-3"/>
              </w:rPr>
              <w:t> </w:t>
            </w:r>
            <w:r>
              <w:rPr/>
              <w:t>moyennes</w:t>
            </w:r>
            <w:r>
              <w:rPr>
                <w:spacing w:val="-2"/>
              </w:rPr>
              <w:t> </w:t>
            </w:r>
            <w:r>
              <w:rPr/>
              <w:t>mensuelles</w:t>
              <w:tab/>
              <w:t>22</w:t>
            </w:r>
          </w:hyperlink>
        </w:p>
        <w:p>
          <w:pPr>
            <w:pStyle w:val="TOC8"/>
          </w:pPr>
          <w:r>
            <w:rPr/>
            <w:t>Chapitre III: Matériel et méthodes</w:t>
          </w:r>
        </w:p>
        <w:p>
          <w:pPr>
            <w:pStyle w:val="TOC2"/>
            <w:numPr>
              <w:ilvl w:val="1"/>
              <w:numId w:val="6"/>
            </w:numPr>
            <w:tabs>
              <w:tab w:pos="1212" w:val="left" w:leader="none"/>
              <w:tab w:pos="8968" w:val="right" w:leader="dot"/>
            </w:tabs>
            <w:spacing w:line="240" w:lineRule="auto" w:before="555" w:after="0"/>
            <w:ind w:left="1211" w:right="0" w:hanging="536"/>
            <w:jc w:val="left"/>
          </w:pPr>
          <w:hyperlink w:history="true" w:anchor="_TOC_250042">
            <w:r>
              <w:rPr/>
              <w:t>Choix</w:t>
            </w:r>
            <w:r>
              <w:rPr>
                <w:spacing w:val="-1"/>
              </w:rPr>
              <w:t> </w:t>
            </w:r>
            <w:r>
              <w:rPr/>
              <w:t>des</w:t>
            </w:r>
            <w:r>
              <w:rPr>
                <w:spacing w:val="-2"/>
              </w:rPr>
              <w:t> </w:t>
            </w:r>
            <w:r>
              <w:rPr/>
              <w:t>sites</w:t>
              <w:tab/>
              <w:t>24</w:t>
            </w:r>
          </w:hyperlink>
        </w:p>
        <w:p>
          <w:pPr>
            <w:pStyle w:val="TOC2"/>
            <w:numPr>
              <w:ilvl w:val="1"/>
              <w:numId w:val="6"/>
            </w:numPr>
            <w:tabs>
              <w:tab w:pos="1219" w:val="left" w:leader="none"/>
              <w:tab w:pos="8968" w:val="right" w:leader="dot"/>
            </w:tabs>
            <w:spacing w:line="240" w:lineRule="auto" w:before="144" w:after="0"/>
            <w:ind w:left="1218" w:right="0" w:hanging="543"/>
            <w:jc w:val="left"/>
          </w:pPr>
          <w:hyperlink w:history="true" w:anchor="_TOC_250041">
            <w:r>
              <w:rPr>
                <w:spacing w:val="-6"/>
              </w:rPr>
              <w:t>Le</w:t>
            </w:r>
            <w:r>
              <w:rPr/>
              <w:t> prélèvement (l’échantillonnage)</w:t>
              <w:tab/>
              <w:t>26</w:t>
            </w:r>
          </w:hyperlink>
        </w:p>
        <w:p>
          <w:pPr>
            <w:pStyle w:val="TOC3"/>
            <w:numPr>
              <w:ilvl w:val="2"/>
              <w:numId w:val="6"/>
            </w:numPr>
            <w:tabs>
              <w:tab w:pos="1552" w:val="left" w:leader="none"/>
              <w:tab w:pos="8968" w:val="right" w:leader="dot"/>
            </w:tabs>
            <w:spacing w:line="240" w:lineRule="auto" w:before="140" w:after="0"/>
            <w:ind w:left="1551" w:right="0" w:hanging="656"/>
            <w:jc w:val="left"/>
          </w:pPr>
          <w:hyperlink w:history="true" w:anchor="_TOC_250040">
            <w:r>
              <w:rPr/>
              <w:t>Prélèvements pour les</w:t>
            </w:r>
            <w:r>
              <w:rPr>
                <w:spacing w:val="-6"/>
              </w:rPr>
              <w:t> </w:t>
            </w:r>
            <w:r>
              <w:rPr/>
              <w:t>analyses</w:t>
            </w:r>
            <w:r>
              <w:rPr>
                <w:spacing w:val="-2"/>
              </w:rPr>
              <w:t> </w:t>
            </w:r>
            <w:r>
              <w:rPr/>
              <w:t>physicochimiques</w:t>
              <w:tab/>
              <w:t>26</w:t>
            </w:r>
          </w:hyperlink>
        </w:p>
        <w:p>
          <w:pPr>
            <w:pStyle w:val="TOC3"/>
            <w:numPr>
              <w:ilvl w:val="2"/>
              <w:numId w:val="6"/>
            </w:numPr>
            <w:tabs>
              <w:tab w:pos="1611" w:val="left" w:leader="none"/>
              <w:tab w:pos="8968" w:val="right" w:leader="dot"/>
            </w:tabs>
            <w:spacing w:line="240" w:lineRule="auto" w:before="140" w:after="0"/>
            <w:ind w:left="1610" w:right="0" w:hanging="715"/>
            <w:jc w:val="left"/>
          </w:pPr>
          <w:hyperlink w:history="true" w:anchor="_TOC_250039">
            <w:r>
              <w:rPr/>
              <w:t>Prélèvements pour les</w:t>
            </w:r>
            <w:r>
              <w:rPr>
                <w:spacing w:val="-6"/>
              </w:rPr>
              <w:t> </w:t>
            </w:r>
            <w:r>
              <w:rPr/>
              <w:t>analyses</w:t>
            </w:r>
            <w:r>
              <w:rPr>
                <w:spacing w:val="-2"/>
              </w:rPr>
              <w:t> </w:t>
            </w:r>
            <w:r>
              <w:rPr/>
              <w:t>microbiologiques</w:t>
              <w:tab/>
              <w:t>26</w:t>
            </w:r>
          </w:hyperlink>
        </w:p>
        <w:p>
          <w:pPr>
            <w:pStyle w:val="TOC2"/>
            <w:numPr>
              <w:ilvl w:val="1"/>
              <w:numId w:val="6"/>
            </w:numPr>
            <w:tabs>
              <w:tab w:pos="1219" w:val="left" w:leader="none"/>
              <w:tab w:pos="8968" w:val="right" w:leader="dot"/>
            </w:tabs>
            <w:spacing w:line="240" w:lineRule="auto" w:before="143" w:after="0"/>
            <w:ind w:left="1218" w:right="0" w:hanging="543"/>
            <w:jc w:val="left"/>
          </w:pPr>
          <w:hyperlink w:history="true" w:anchor="_TOC_250038">
            <w:r>
              <w:rPr>
                <w:spacing w:val="-2"/>
              </w:rPr>
              <w:t>Les</w:t>
            </w:r>
            <w:r>
              <w:rPr>
                <w:spacing w:val="-3"/>
              </w:rPr>
              <w:t> </w:t>
            </w:r>
            <w:r>
              <w:rPr/>
              <w:t>analyses</w:t>
            </w:r>
            <w:r>
              <w:rPr>
                <w:spacing w:val="-2"/>
              </w:rPr>
              <w:t> </w:t>
            </w:r>
            <w:r>
              <w:rPr/>
              <w:t>physico-chimiques</w:t>
              <w:tab/>
              <w:t>27</w:t>
            </w:r>
          </w:hyperlink>
        </w:p>
        <w:p>
          <w:pPr>
            <w:pStyle w:val="TOC3"/>
            <w:numPr>
              <w:ilvl w:val="2"/>
              <w:numId w:val="6"/>
            </w:numPr>
            <w:tabs>
              <w:tab w:pos="1611" w:val="left" w:leader="none"/>
              <w:tab w:pos="8968" w:val="right" w:leader="dot"/>
            </w:tabs>
            <w:spacing w:line="240" w:lineRule="auto" w:before="140" w:after="0"/>
            <w:ind w:left="1610" w:right="0" w:hanging="715"/>
            <w:jc w:val="left"/>
          </w:pPr>
          <w:hyperlink w:history="true" w:anchor="_TOC_250037">
            <w:r>
              <w:rPr/>
              <w:t>Mesures</w:t>
            </w:r>
            <w:r>
              <w:rPr>
                <w:spacing w:val="-3"/>
              </w:rPr>
              <w:t> </w:t>
            </w:r>
            <w:r>
              <w:rPr/>
              <w:t>in</w:t>
            </w:r>
            <w:r>
              <w:rPr>
                <w:spacing w:val="-1"/>
              </w:rPr>
              <w:t> </w:t>
            </w:r>
            <w:r>
              <w:rPr/>
              <w:t>situ</w:t>
              <w:tab/>
              <w:t>27</w:t>
            </w:r>
          </w:hyperlink>
        </w:p>
        <w:p>
          <w:pPr>
            <w:pStyle w:val="TOC3"/>
            <w:numPr>
              <w:ilvl w:val="2"/>
              <w:numId w:val="6"/>
            </w:numPr>
            <w:tabs>
              <w:tab w:pos="1611" w:val="left" w:leader="none"/>
              <w:tab w:pos="8968" w:val="right" w:leader="dot"/>
            </w:tabs>
            <w:spacing w:line="240" w:lineRule="auto" w:before="140" w:after="240"/>
            <w:ind w:left="1610" w:right="0" w:hanging="715"/>
            <w:jc w:val="left"/>
          </w:pPr>
          <w:hyperlink w:history="true" w:anchor="_TOC_250036">
            <w:r>
              <w:rPr/>
              <w:t>Mesure de</w:t>
            </w:r>
            <w:r>
              <w:rPr>
                <w:spacing w:val="1"/>
              </w:rPr>
              <w:t> </w:t>
            </w:r>
            <w:r>
              <w:rPr/>
              <w:t>la</w:t>
            </w:r>
            <w:r>
              <w:rPr>
                <w:spacing w:val="1"/>
              </w:rPr>
              <w:t> </w:t>
            </w:r>
            <w:r>
              <w:rPr/>
              <w:t>turbidité</w:t>
              <w:tab/>
              <w:t>27</w:t>
            </w:r>
          </w:hyperlink>
        </w:p>
        <w:p>
          <w:pPr>
            <w:pStyle w:val="TOC3"/>
            <w:numPr>
              <w:ilvl w:val="2"/>
              <w:numId w:val="6"/>
            </w:numPr>
            <w:tabs>
              <w:tab w:pos="1611" w:val="left" w:leader="none"/>
              <w:tab w:pos="8968" w:val="right" w:leader="dot"/>
            </w:tabs>
            <w:spacing w:line="240" w:lineRule="auto" w:before="66" w:after="0"/>
            <w:ind w:left="1610" w:right="0" w:hanging="715"/>
            <w:jc w:val="left"/>
          </w:pPr>
          <w:r>
            <w:rPr/>
            <w:t>Titre hydrotimétrique</w:t>
          </w:r>
          <w:r>
            <w:rPr>
              <w:spacing w:val="1"/>
            </w:rPr>
            <w:t> </w:t>
          </w:r>
          <w:r>
            <w:rPr/>
            <w:t>(TH)</w:t>
            <w:tab/>
            <w:t>28</w:t>
          </w:r>
        </w:p>
        <w:p>
          <w:pPr>
            <w:pStyle w:val="TOC3"/>
            <w:numPr>
              <w:ilvl w:val="2"/>
              <w:numId w:val="6"/>
            </w:numPr>
            <w:tabs>
              <w:tab w:pos="1611" w:val="left" w:leader="none"/>
              <w:tab w:pos="8968" w:val="right" w:leader="dot"/>
            </w:tabs>
            <w:spacing w:line="240" w:lineRule="auto" w:before="144" w:after="0"/>
            <w:ind w:left="1610" w:right="0" w:hanging="715"/>
            <w:jc w:val="left"/>
          </w:pPr>
          <w:hyperlink w:history="true" w:anchor="_TOC_250035">
            <w:r>
              <w:rPr/>
              <w:t>Titre alcalimétrique simple et complet (TA</w:t>
            </w:r>
            <w:r>
              <w:rPr>
                <w:spacing w:val="-9"/>
              </w:rPr>
              <w:t> </w:t>
            </w:r>
            <w:r>
              <w:rPr/>
              <w:t>et TAC)</w:t>
              <w:tab/>
              <w:t>29</w:t>
            </w:r>
          </w:hyperlink>
        </w:p>
        <w:p>
          <w:pPr>
            <w:pStyle w:val="TOC3"/>
            <w:numPr>
              <w:ilvl w:val="2"/>
              <w:numId w:val="6"/>
            </w:numPr>
            <w:tabs>
              <w:tab w:pos="1611" w:val="left" w:leader="none"/>
              <w:tab w:pos="8968" w:val="right" w:leader="dot"/>
            </w:tabs>
            <w:spacing w:line="240" w:lineRule="auto" w:before="140" w:after="0"/>
            <w:ind w:left="1610" w:right="0" w:hanging="715"/>
            <w:jc w:val="left"/>
          </w:pPr>
          <w:r>
            <w:rPr/>
            <w:t>Détermination des</w:t>
          </w:r>
          <w:r>
            <w:rPr>
              <w:spacing w:val="-4"/>
            </w:rPr>
            <w:t> </w:t>
          </w:r>
          <w:r>
            <w:rPr/>
            <w:t>phosphates</w:t>
          </w:r>
          <w:r>
            <w:rPr>
              <w:spacing w:val="-2"/>
            </w:rPr>
            <w:t> </w:t>
          </w:r>
          <w:r>
            <w:rPr/>
            <w:t>(PO3-4)</w:t>
            <w:tab/>
            <w:t>30</w:t>
          </w:r>
        </w:p>
        <w:p>
          <w:pPr>
            <w:pStyle w:val="TOC3"/>
            <w:numPr>
              <w:ilvl w:val="2"/>
              <w:numId w:val="6"/>
            </w:numPr>
            <w:tabs>
              <w:tab w:pos="1611" w:val="left" w:leader="none"/>
              <w:tab w:pos="8968" w:val="right" w:leader="dot"/>
            </w:tabs>
            <w:spacing w:line="240" w:lineRule="auto" w:before="139" w:after="0"/>
            <w:ind w:left="1610" w:right="0" w:hanging="715"/>
            <w:jc w:val="left"/>
          </w:pPr>
          <w:hyperlink w:history="true" w:anchor="_TOC_250034">
            <w:r>
              <w:rPr/>
              <w:t>Dosage de</w:t>
            </w:r>
            <w:r>
              <w:rPr>
                <w:spacing w:val="1"/>
              </w:rPr>
              <w:t> </w:t>
            </w:r>
            <w:r>
              <w:rPr/>
              <w:t>l’ammonium</w:t>
              <w:tab/>
              <w:t>31</w:t>
            </w:r>
          </w:hyperlink>
        </w:p>
        <w:p>
          <w:pPr>
            <w:pStyle w:val="TOC3"/>
            <w:numPr>
              <w:ilvl w:val="2"/>
              <w:numId w:val="6"/>
            </w:numPr>
            <w:tabs>
              <w:tab w:pos="1611" w:val="left" w:leader="none"/>
              <w:tab w:pos="8968" w:val="right" w:leader="dot"/>
            </w:tabs>
            <w:spacing w:line="240" w:lineRule="auto" w:before="145" w:after="0"/>
            <w:ind w:left="1610" w:right="0" w:hanging="715"/>
            <w:jc w:val="left"/>
          </w:pPr>
          <w:r>
            <w:rPr/>
            <w:t>Dosage des</w:t>
          </w:r>
          <w:r>
            <w:rPr>
              <w:spacing w:val="-2"/>
            </w:rPr>
            <w:t> </w:t>
          </w:r>
          <w:r>
            <w:rPr/>
            <w:t>nitrates</w:t>
          </w:r>
          <w:r>
            <w:rPr>
              <w:spacing w:val="-2"/>
            </w:rPr>
            <w:t> </w:t>
          </w:r>
          <w:r>
            <w:rPr/>
            <w:t>(NO3-)</w:t>
            <w:tab/>
            <w:t>32</w:t>
          </w:r>
        </w:p>
        <w:p>
          <w:pPr>
            <w:pStyle w:val="TOC3"/>
            <w:numPr>
              <w:ilvl w:val="2"/>
              <w:numId w:val="6"/>
            </w:numPr>
            <w:tabs>
              <w:tab w:pos="1611" w:val="left" w:leader="none"/>
              <w:tab w:pos="8968" w:val="right" w:leader="dot"/>
            </w:tabs>
            <w:spacing w:line="240" w:lineRule="auto" w:before="140" w:after="0"/>
            <w:ind w:left="1610" w:right="0" w:hanging="715"/>
            <w:jc w:val="left"/>
          </w:pPr>
          <w:hyperlink w:history="true" w:anchor="_TOC_250033">
            <w:r>
              <w:rPr/>
              <w:t>Dosages</w:t>
            </w:r>
            <w:r>
              <w:rPr>
                <w:spacing w:val="-3"/>
              </w:rPr>
              <w:t> </w:t>
            </w:r>
            <w:r>
              <w:rPr/>
              <w:t>des</w:t>
            </w:r>
            <w:r>
              <w:rPr>
                <w:spacing w:val="-2"/>
              </w:rPr>
              <w:t> </w:t>
            </w:r>
            <w:r>
              <w:rPr/>
              <w:t>nitrites</w:t>
              <w:tab/>
              <w:t>33</w:t>
            </w:r>
          </w:hyperlink>
        </w:p>
        <w:p>
          <w:pPr>
            <w:pStyle w:val="TOC3"/>
            <w:numPr>
              <w:ilvl w:val="2"/>
              <w:numId w:val="6"/>
            </w:numPr>
            <w:tabs>
              <w:tab w:pos="1611" w:val="left" w:leader="none"/>
              <w:tab w:pos="8968" w:val="right" w:leader="dot"/>
            </w:tabs>
            <w:spacing w:line="240" w:lineRule="auto" w:before="139" w:after="0"/>
            <w:ind w:left="1610" w:right="0" w:hanging="715"/>
            <w:jc w:val="left"/>
          </w:pPr>
          <w:hyperlink w:history="true" w:anchor="_TOC_250032">
            <w:r>
              <w:rPr/>
              <w:t>Résidu</w:t>
            </w:r>
            <w:r>
              <w:rPr>
                <w:spacing w:val="-2"/>
              </w:rPr>
              <w:t> </w:t>
            </w:r>
            <w:r>
              <w:rPr/>
              <w:t>sec</w:t>
              <w:tab/>
              <w:t>33</w:t>
            </w:r>
          </w:hyperlink>
        </w:p>
        <w:p>
          <w:pPr>
            <w:pStyle w:val="TOC3"/>
            <w:numPr>
              <w:ilvl w:val="2"/>
              <w:numId w:val="6"/>
            </w:numPr>
            <w:tabs>
              <w:tab w:pos="1731" w:val="left" w:leader="none"/>
              <w:tab w:pos="8968" w:val="right" w:leader="dot"/>
            </w:tabs>
            <w:spacing w:line="240" w:lineRule="auto" w:before="144" w:after="0"/>
            <w:ind w:left="1730" w:right="0" w:hanging="835"/>
            <w:jc w:val="left"/>
          </w:pPr>
          <w:hyperlink w:history="true" w:anchor="_TOC_250031">
            <w:r>
              <w:rPr/>
              <w:t>Détermination des</w:t>
            </w:r>
            <w:r>
              <w:rPr>
                <w:spacing w:val="-4"/>
              </w:rPr>
              <w:t> </w:t>
            </w:r>
            <w:r>
              <w:rPr/>
              <w:t>chlorures</w:t>
            </w:r>
            <w:r>
              <w:rPr>
                <w:spacing w:val="-2"/>
              </w:rPr>
              <w:t> </w:t>
            </w:r>
            <w:r>
              <w:rPr/>
              <w:t>(Cl-)</w:t>
              <w:tab/>
              <w:t>34</w:t>
            </w:r>
          </w:hyperlink>
        </w:p>
        <w:p>
          <w:pPr>
            <w:pStyle w:val="TOC3"/>
            <w:numPr>
              <w:ilvl w:val="2"/>
              <w:numId w:val="6"/>
            </w:numPr>
            <w:tabs>
              <w:tab w:pos="1731" w:val="left" w:leader="none"/>
              <w:tab w:pos="8968" w:val="right" w:leader="dot"/>
            </w:tabs>
            <w:spacing w:line="240" w:lineRule="auto" w:before="140" w:after="0"/>
            <w:ind w:left="1730" w:right="0" w:hanging="835"/>
            <w:jc w:val="left"/>
          </w:pPr>
          <w:hyperlink w:history="true" w:anchor="_TOC_250030">
            <w:r>
              <w:rPr/>
              <w:t>Dosage du</w:t>
            </w:r>
            <w:r>
              <w:rPr>
                <w:spacing w:val="-1"/>
              </w:rPr>
              <w:t> </w:t>
            </w:r>
            <w:r>
              <w:rPr/>
              <w:t>sulfate</w:t>
              <w:tab/>
              <w:t>35</w:t>
            </w:r>
          </w:hyperlink>
        </w:p>
        <w:p>
          <w:pPr>
            <w:pStyle w:val="TOC3"/>
            <w:numPr>
              <w:ilvl w:val="2"/>
              <w:numId w:val="6"/>
            </w:numPr>
            <w:tabs>
              <w:tab w:pos="1731" w:val="left" w:leader="none"/>
              <w:tab w:pos="8968" w:val="right" w:leader="dot"/>
            </w:tabs>
            <w:spacing w:line="240" w:lineRule="auto" w:before="140" w:after="0"/>
            <w:ind w:left="1730" w:right="0" w:hanging="835"/>
            <w:jc w:val="left"/>
          </w:pPr>
          <w:hyperlink w:history="true" w:anchor="_TOC_250029">
            <w:r>
              <w:rPr/>
              <w:t>Détermination</w:t>
            </w:r>
            <w:r>
              <w:rPr>
                <w:spacing w:val="-1"/>
              </w:rPr>
              <w:t> </w:t>
            </w:r>
            <w:r>
              <w:rPr/>
              <w:t>du</w:t>
            </w:r>
            <w:r>
              <w:rPr>
                <w:spacing w:val="-1"/>
              </w:rPr>
              <w:t> </w:t>
            </w:r>
            <w:r>
              <w:rPr/>
              <w:t>fer</w:t>
              <w:tab/>
              <w:t>35</w:t>
            </w:r>
          </w:hyperlink>
        </w:p>
        <w:p>
          <w:pPr>
            <w:pStyle w:val="TOC2"/>
            <w:numPr>
              <w:ilvl w:val="1"/>
              <w:numId w:val="6"/>
            </w:numPr>
            <w:tabs>
              <w:tab w:pos="1215" w:val="left" w:leader="none"/>
              <w:tab w:pos="8968" w:val="right" w:leader="dot"/>
            </w:tabs>
            <w:spacing w:line="240" w:lineRule="auto" w:before="144" w:after="0"/>
            <w:ind w:left="1214" w:right="0" w:hanging="539"/>
            <w:jc w:val="left"/>
          </w:pPr>
          <w:hyperlink w:history="true" w:anchor="_TOC_250028">
            <w:r>
              <w:rPr/>
              <w:t>Analyses</w:t>
            </w:r>
            <w:r>
              <w:rPr>
                <w:spacing w:val="-3"/>
              </w:rPr>
              <w:t> </w:t>
            </w:r>
            <w:r>
              <w:rPr/>
              <w:t>bactériologiques</w:t>
              <w:tab/>
              <w:t>36</w:t>
            </w:r>
          </w:hyperlink>
        </w:p>
        <w:p>
          <w:pPr>
            <w:pStyle w:val="TOC3"/>
            <w:numPr>
              <w:ilvl w:val="2"/>
              <w:numId w:val="6"/>
            </w:numPr>
            <w:tabs>
              <w:tab w:pos="1611" w:val="left" w:leader="none"/>
              <w:tab w:pos="8968" w:val="right" w:leader="dot"/>
            </w:tabs>
            <w:spacing w:line="240" w:lineRule="auto" w:before="140" w:after="0"/>
            <w:ind w:left="1610" w:right="0" w:hanging="715"/>
            <w:jc w:val="left"/>
          </w:pPr>
          <w:hyperlink w:history="true" w:anchor="_TOC_250027">
            <w:r>
              <w:rPr/>
              <w:t>Méthode choisie</w:t>
              <w:tab/>
              <w:t>37</w:t>
            </w:r>
          </w:hyperlink>
        </w:p>
        <w:p>
          <w:pPr>
            <w:pStyle w:val="TOC3"/>
            <w:numPr>
              <w:ilvl w:val="2"/>
              <w:numId w:val="6"/>
            </w:numPr>
            <w:tabs>
              <w:tab w:pos="1611" w:val="left" w:leader="none"/>
              <w:tab w:pos="8968" w:val="right" w:leader="dot"/>
            </w:tabs>
            <w:spacing w:line="240" w:lineRule="auto" w:before="139" w:after="0"/>
            <w:ind w:left="1610" w:right="0" w:hanging="715"/>
            <w:jc w:val="left"/>
          </w:pPr>
          <w:hyperlink w:history="true" w:anchor="_TOC_250026">
            <w:r>
              <w:rPr/>
              <w:t>Recherche des</w:t>
            </w:r>
            <w:r>
              <w:rPr>
                <w:spacing w:val="-1"/>
              </w:rPr>
              <w:t> </w:t>
            </w:r>
            <w:r>
              <w:rPr/>
              <w:t>germes</w:t>
            </w:r>
            <w:r>
              <w:rPr>
                <w:spacing w:val="-2"/>
              </w:rPr>
              <w:t> </w:t>
            </w:r>
            <w:r>
              <w:rPr/>
              <w:t>totaux</w:t>
              <w:tab/>
              <w:t>38</w:t>
            </w:r>
          </w:hyperlink>
        </w:p>
        <w:p>
          <w:pPr>
            <w:pStyle w:val="TOC3"/>
            <w:numPr>
              <w:ilvl w:val="2"/>
              <w:numId w:val="6"/>
            </w:numPr>
            <w:tabs>
              <w:tab w:pos="1619" w:val="left" w:leader="none"/>
              <w:tab w:pos="8968" w:val="right" w:leader="dot"/>
            </w:tabs>
            <w:spacing w:line="240" w:lineRule="auto" w:before="144" w:after="0"/>
            <w:ind w:left="1618" w:right="0" w:hanging="723"/>
            <w:jc w:val="left"/>
          </w:pPr>
          <w:r>
            <w:rPr>
              <w:spacing w:val="-6"/>
            </w:rPr>
            <w:t>La </w:t>
          </w:r>
          <w:r>
            <w:rPr/>
            <w:t>recherche des coliformes et</w:t>
          </w:r>
          <w:r>
            <w:rPr>
              <w:spacing w:val="3"/>
            </w:rPr>
            <w:t> </w:t>
          </w:r>
          <w:r>
            <w:rPr/>
            <w:t>d’Escherichia</w:t>
          </w:r>
          <w:r>
            <w:rPr>
              <w:spacing w:val="1"/>
            </w:rPr>
            <w:t> </w:t>
          </w:r>
          <w:r>
            <w:rPr/>
            <w:t>coli</w:t>
            <w:tab/>
            <w:t>39</w:t>
          </w:r>
        </w:p>
        <w:p>
          <w:pPr>
            <w:pStyle w:val="TOC3"/>
            <w:numPr>
              <w:ilvl w:val="2"/>
              <w:numId w:val="6"/>
            </w:numPr>
            <w:tabs>
              <w:tab w:pos="1619" w:val="left" w:leader="none"/>
              <w:tab w:pos="8968" w:val="right" w:leader="dot"/>
            </w:tabs>
            <w:spacing w:line="240" w:lineRule="auto" w:before="140" w:after="0"/>
            <w:ind w:left="1618" w:right="0" w:hanging="723"/>
            <w:jc w:val="left"/>
          </w:pPr>
          <w:hyperlink w:history="true" w:anchor="_TOC_250025">
            <w:r>
              <w:rPr>
                <w:spacing w:val="-6"/>
              </w:rPr>
              <w:t>La </w:t>
            </w:r>
            <w:r>
              <w:rPr/>
              <w:t>recherche</w:t>
            </w:r>
            <w:r>
              <w:rPr>
                <w:spacing w:val="8"/>
              </w:rPr>
              <w:t> </w:t>
            </w:r>
            <w:r>
              <w:rPr/>
              <w:t>des</w:t>
            </w:r>
            <w:r>
              <w:rPr>
                <w:spacing w:val="-2"/>
              </w:rPr>
              <w:t> </w:t>
            </w:r>
            <w:r>
              <w:rPr/>
              <w:t>streptocoques</w:t>
              <w:tab/>
              <w:t>40</w:t>
            </w:r>
          </w:hyperlink>
        </w:p>
        <w:p>
          <w:pPr>
            <w:pStyle w:val="TOC3"/>
            <w:numPr>
              <w:ilvl w:val="2"/>
              <w:numId w:val="6"/>
            </w:numPr>
            <w:tabs>
              <w:tab w:pos="1619" w:val="left" w:leader="none"/>
              <w:tab w:pos="8968" w:val="right" w:leader="dot"/>
            </w:tabs>
            <w:spacing w:line="240" w:lineRule="auto" w:before="140" w:after="0"/>
            <w:ind w:left="1618" w:right="0" w:hanging="723"/>
            <w:jc w:val="left"/>
          </w:pPr>
          <w:hyperlink w:history="true" w:anchor="_TOC_250024">
            <w:r>
              <w:rPr>
                <w:spacing w:val="-6"/>
              </w:rPr>
              <w:t>La </w:t>
            </w:r>
            <w:r>
              <w:rPr/>
              <w:t>recherche des clostridium sulfuto-réducteurs</w:t>
            </w:r>
            <w:r>
              <w:rPr>
                <w:spacing w:val="8"/>
              </w:rPr>
              <w:t> </w:t>
            </w:r>
            <w:r>
              <w:rPr/>
              <w:t>(les</w:t>
            </w:r>
            <w:r>
              <w:rPr>
                <w:spacing w:val="-3"/>
              </w:rPr>
              <w:t> </w:t>
            </w:r>
            <w:r>
              <w:rPr/>
              <w:t>ASR)</w:t>
              <w:tab/>
              <w:t>41</w:t>
            </w:r>
          </w:hyperlink>
        </w:p>
        <w:p>
          <w:pPr>
            <w:pStyle w:val="TOC6"/>
          </w:pPr>
          <w:r>
            <w:rPr/>
            <w:t>Chapitre IV: Résultats et discussions</w:t>
          </w:r>
        </w:p>
        <w:p>
          <w:pPr>
            <w:pStyle w:val="TOC2"/>
            <w:numPr>
              <w:ilvl w:val="1"/>
              <w:numId w:val="7"/>
            </w:numPr>
            <w:tabs>
              <w:tab w:pos="1172" w:val="left" w:leader="none"/>
              <w:tab w:pos="8968" w:val="right" w:leader="dot"/>
            </w:tabs>
            <w:spacing w:line="240" w:lineRule="auto" w:before="557" w:after="0"/>
            <w:ind w:left="1171" w:right="0" w:hanging="496"/>
            <w:jc w:val="left"/>
          </w:pPr>
          <w:hyperlink w:history="true" w:anchor="_TOC_250023">
            <w:r>
              <w:rPr/>
              <w:t>Les</w:t>
            </w:r>
            <w:r>
              <w:rPr>
                <w:spacing w:val="-3"/>
              </w:rPr>
              <w:t> </w:t>
            </w:r>
            <w:r>
              <w:rPr/>
              <w:t>analyses</w:t>
            </w:r>
            <w:r>
              <w:rPr>
                <w:spacing w:val="-2"/>
              </w:rPr>
              <w:t> </w:t>
            </w:r>
            <w:r>
              <w:rPr/>
              <w:t>physico-chimiques</w:t>
              <w:tab/>
              <w:t>43</w:t>
            </w:r>
          </w:hyperlink>
        </w:p>
        <w:p>
          <w:pPr>
            <w:pStyle w:val="TOC3"/>
            <w:numPr>
              <w:ilvl w:val="2"/>
              <w:numId w:val="7"/>
            </w:numPr>
            <w:tabs>
              <w:tab w:pos="1631" w:val="left" w:leader="none"/>
              <w:tab w:pos="8968" w:val="right" w:leader="dot"/>
            </w:tabs>
            <w:spacing w:line="240" w:lineRule="auto" w:before="139" w:after="0"/>
            <w:ind w:left="1630" w:right="0" w:hanging="735"/>
            <w:jc w:val="left"/>
          </w:pPr>
          <w:hyperlink w:history="true" w:anchor="_TOC_250022">
            <w:r>
              <w:rPr>
                <w:spacing w:val="-4"/>
              </w:rPr>
              <w:t>La</w:t>
            </w:r>
            <w:r>
              <w:rPr>
                <w:spacing w:val="1"/>
              </w:rPr>
              <w:t> </w:t>
            </w:r>
            <w:r>
              <w:rPr/>
              <w:t>température</w:t>
              <w:tab/>
              <w:t>43</w:t>
            </w:r>
          </w:hyperlink>
        </w:p>
        <w:p>
          <w:pPr>
            <w:pStyle w:val="TOC3"/>
            <w:numPr>
              <w:ilvl w:val="2"/>
              <w:numId w:val="7"/>
            </w:numPr>
            <w:tabs>
              <w:tab w:pos="1631" w:val="left" w:leader="none"/>
              <w:tab w:pos="8968" w:val="right" w:leader="dot"/>
            </w:tabs>
            <w:spacing w:line="240" w:lineRule="auto" w:before="140" w:after="0"/>
            <w:ind w:left="1630" w:right="0" w:hanging="735"/>
            <w:jc w:val="left"/>
          </w:pPr>
          <w:hyperlink w:history="true" w:anchor="_TOC_250021">
            <w:r>
              <w:rPr>
                <w:spacing w:val="-4"/>
              </w:rPr>
              <w:t>Le </w:t>
            </w:r>
            <w:r>
              <w:rPr/>
              <w:t>potentiel</w:t>
            </w:r>
            <w:r>
              <w:rPr>
                <w:spacing w:val="4"/>
              </w:rPr>
              <w:t> </w:t>
            </w:r>
            <w:r>
              <w:rPr/>
              <w:t>d’hydrogène</w:t>
            </w:r>
            <w:r>
              <w:rPr>
                <w:spacing w:val="1"/>
              </w:rPr>
              <w:t> </w:t>
            </w:r>
            <w:r>
              <w:rPr/>
              <w:t>(pH)</w:t>
              <w:tab/>
              <w:t>43</w:t>
            </w:r>
          </w:hyperlink>
        </w:p>
        <w:p>
          <w:pPr>
            <w:pStyle w:val="TOC3"/>
            <w:numPr>
              <w:ilvl w:val="2"/>
              <w:numId w:val="7"/>
            </w:numPr>
            <w:tabs>
              <w:tab w:pos="1631" w:val="left" w:leader="none"/>
              <w:tab w:pos="8968" w:val="right" w:leader="dot"/>
            </w:tabs>
            <w:spacing w:line="240" w:lineRule="auto" w:before="144" w:after="0"/>
            <w:ind w:left="1630" w:right="0" w:hanging="735"/>
            <w:jc w:val="left"/>
          </w:pPr>
          <w:hyperlink w:history="true" w:anchor="_TOC_250020">
            <w:r>
              <w:rPr>
                <w:spacing w:val="-4"/>
              </w:rPr>
              <w:t>La </w:t>
            </w:r>
            <w:r>
              <w:rPr/>
              <w:t>conductivité</w:t>
            </w:r>
            <w:r>
              <w:rPr>
                <w:spacing w:val="5"/>
              </w:rPr>
              <w:t> </w:t>
            </w:r>
            <w:r>
              <w:rPr/>
              <w:t>électrique</w:t>
            </w:r>
            <w:r>
              <w:rPr>
                <w:spacing w:val="1"/>
              </w:rPr>
              <w:t> </w:t>
            </w:r>
            <w:r>
              <w:rPr/>
              <w:t>(CE)</w:t>
              <w:tab/>
              <w:t>44</w:t>
            </w:r>
          </w:hyperlink>
        </w:p>
        <w:p>
          <w:pPr>
            <w:pStyle w:val="TOC3"/>
            <w:numPr>
              <w:ilvl w:val="2"/>
              <w:numId w:val="7"/>
            </w:numPr>
            <w:tabs>
              <w:tab w:pos="1571" w:val="left" w:leader="none"/>
              <w:tab w:pos="8968" w:val="right" w:leader="dot"/>
            </w:tabs>
            <w:spacing w:line="240" w:lineRule="auto" w:before="139" w:after="0"/>
            <w:ind w:left="1570" w:right="0" w:hanging="675"/>
            <w:jc w:val="left"/>
          </w:pPr>
          <w:hyperlink w:history="true" w:anchor="_TOC_250019">
            <w:r>
              <w:rPr/>
              <w:t>L’oxygène dissous</w:t>
              <w:tab/>
              <w:t>45</w:t>
            </w:r>
          </w:hyperlink>
        </w:p>
        <w:p>
          <w:pPr>
            <w:pStyle w:val="TOC3"/>
            <w:numPr>
              <w:ilvl w:val="2"/>
              <w:numId w:val="7"/>
            </w:numPr>
            <w:tabs>
              <w:tab w:pos="1631" w:val="left" w:leader="none"/>
              <w:tab w:pos="8968" w:val="right" w:leader="dot"/>
            </w:tabs>
            <w:spacing w:line="240" w:lineRule="auto" w:before="141" w:after="0"/>
            <w:ind w:left="1630" w:right="0" w:hanging="735"/>
            <w:jc w:val="left"/>
          </w:pPr>
          <w:hyperlink w:history="true" w:anchor="_TOC_250018">
            <w:r>
              <w:rPr>
                <w:spacing w:val="-4"/>
              </w:rPr>
              <w:t>La</w:t>
            </w:r>
            <w:r>
              <w:rPr>
                <w:spacing w:val="1"/>
              </w:rPr>
              <w:t> </w:t>
            </w:r>
            <w:r>
              <w:rPr/>
              <w:t>salinité</w:t>
              <w:tab/>
              <w:t>45</w:t>
            </w:r>
          </w:hyperlink>
        </w:p>
        <w:p>
          <w:pPr>
            <w:pStyle w:val="TOC3"/>
            <w:tabs>
              <w:tab w:pos="8968" w:val="right" w:leader="dot"/>
            </w:tabs>
            <w:spacing w:before="143"/>
            <w:ind w:left="895" w:firstLine="0"/>
          </w:pPr>
          <w:hyperlink w:history="true" w:anchor="_TOC_250017">
            <w:r>
              <w:rPr/>
              <w:t>IV.1.6.T.D.S. (des substances dissoutes</w:t>
            </w:r>
            <w:r>
              <w:rPr>
                <w:spacing w:val="-8"/>
              </w:rPr>
              <w:t> </w:t>
            </w:r>
            <w:r>
              <w:rPr/>
              <w:t>dans</w:t>
            </w:r>
            <w:r>
              <w:rPr>
                <w:spacing w:val="-2"/>
              </w:rPr>
              <w:t> </w:t>
            </w:r>
            <w:r>
              <w:rPr/>
              <w:t>l’eau)</w:t>
              <w:tab/>
              <w:t>46</w:t>
            </w:r>
          </w:hyperlink>
        </w:p>
        <w:p>
          <w:pPr>
            <w:pStyle w:val="TOC3"/>
            <w:numPr>
              <w:ilvl w:val="2"/>
              <w:numId w:val="8"/>
            </w:numPr>
            <w:tabs>
              <w:tab w:pos="1631" w:val="left" w:leader="none"/>
              <w:tab w:pos="8968" w:val="right" w:leader="dot"/>
            </w:tabs>
            <w:spacing w:line="240" w:lineRule="auto" w:before="140" w:after="0"/>
            <w:ind w:left="1630" w:right="0" w:hanging="735"/>
            <w:jc w:val="left"/>
          </w:pPr>
          <w:hyperlink w:history="true" w:anchor="_TOC_250016">
            <w:r>
              <w:rPr>
                <w:spacing w:val="-4"/>
              </w:rPr>
              <w:t>La</w:t>
            </w:r>
            <w:r>
              <w:rPr>
                <w:spacing w:val="1"/>
              </w:rPr>
              <w:t> </w:t>
            </w:r>
            <w:r>
              <w:rPr/>
              <w:t>turbidité</w:t>
              <w:tab/>
              <w:t>47</w:t>
            </w:r>
          </w:hyperlink>
        </w:p>
        <w:p>
          <w:pPr>
            <w:pStyle w:val="TOC3"/>
            <w:numPr>
              <w:ilvl w:val="2"/>
              <w:numId w:val="8"/>
            </w:numPr>
            <w:tabs>
              <w:tab w:pos="1631" w:val="left" w:leader="none"/>
              <w:tab w:pos="8968" w:val="right" w:leader="dot"/>
            </w:tabs>
            <w:spacing w:line="240" w:lineRule="auto" w:before="144" w:after="0"/>
            <w:ind w:left="1630" w:right="0" w:hanging="735"/>
            <w:jc w:val="left"/>
          </w:pPr>
          <w:hyperlink w:history="true" w:anchor="_TOC_250015">
            <w:r>
              <w:rPr>
                <w:spacing w:val="-4"/>
              </w:rPr>
              <w:t>La </w:t>
            </w:r>
            <w:r>
              <w:rPr/>
              <w:t>dureté totale (TH °</w:t>
            </w:r>
            <w:r>
              <w:rPr>
                <w:spacing w:val="3"/>
              </w:rPr>
              <w:t> </w:t>
            </w:r>
            <w:r>
              <w:rPr>
                <w:spacing w:val="-3"/>
              </w:rPr>
              <w:t>F)</w:t>
              <w:tab/>
            </w:r>
            <w:r>
              <w:rPr/>
              <w:t>47</w:t>
            </w:r>
          </w:hyperlink>
        </w:p>
        <w:p>
          <w:pPr>
            <w:pStyle w:val="TOC3"/>
            <w:numPr>
              <w:ilvl w:val="2"/>
              <w:numId w:val="8"/>
            </w:numPr>
            <w:tabs>
              <w:tab w:pos="1624" w:val="left" w:leader="none"/>
              <w:tab w:pos="8968" w:val="right" w:leader="dot"/>
            </w:tabs>
            <w:spacing w:line="240" w:lineRule="auto" w:before="140" w:after="0"/>
            <w:ind w:left="1623" w:right="0" w:hanging="728"/>
            <w:jc w:val="left"/>
          </w:pPr>
          <w:hyperlink w:history="true" w:anchor="_TOC_250014">
            <w:r>
              <w:rPr/>
              <w:t>Taux d’alcalinité (TA) et taux d’alcalinité</w:t>
            </w:r>
            <w:r>
              <w:rPr>
                <w:spacing w:val="-7"/>
              </w:rPr>
              <w:t> </w:t>
            </w:r>
            <w:r>
              <w:rPr/>
              <w:t>complet</w:t>
            </w:r>
            <w:r>
              <w:rPr>
                <w:spacing w:val="-1"/>
              </w:rPr>
              <w:t> </w:t>
            </w:r>
            <w:r>
              <w:rPr/>
              <w:t>(TAC)</w:t>
              <w:tab/>
              <w:t>48</w:t>
            </w:r>
          </w:hyperlink>
        </w:p>
        <w:p>
          <w:pPr>
            <w:pStyle w:val="TOC3"/>
            <w:numPr>
              <w:ilvl w:val="2"/>
              <w:numId w:val="8"/>
            </w:numPr>
            <w:tabs>
              <w:tab w:pos="1751" w:val="left" w:leader="none"/>
              <w:tab w:pos="8968" w:val="right" w:leader="dot"/>
            </w:tabs>
            <w:spacing w:line="240" w:lineRule="auto" w:before="140" w:after="0"/>
            <w:ind w:left="1750" w:right="0" w:hanging="855"/>
            <w:jc w:val="left"/>
          </w:pPr>
          <w:r>
            <w:rPr/>
            <w:t>Les</w:t>
          </w:r>
          <w:r>
            <w:rPr>
              <w:spacing w:val="-3"/>
            </w:rPr>
            <w:t> </w:t>
          </w:r>
          <w:r>
            <w:rPr/>
            <w:t>phosphates</w:t>
          </w:r>
          <w:r>
            <w:rPr>
              <w:spacing w:val="-2"/>
            </w:rPr>
            <w:t> </w:t>
          </w:r>
          <w:r>
            <w:rPr/>
            <w:t>(PO43)</w:t>
            <w:tab/>
            <w:t>49</w:t>
          </w:r>
        </w:p>
        <w:p>
          <w:pPr>
            <w:pStyle w:val="TOC3"/>
            <w:numPr>
              <w:ilvl w:val="2"/>
              <w:numId w:val="8"/>
            </w:numPr>
            <w:tabs>
              <w:tab w:pos="1751" w:val="left" w:leader="none"/>
              <w:tab w:pos="8968" w:val="right" w:leader="dot"/>
            </w:tabs>
            <w:spacing w:line="240" w:lineRule="auto" w:before="143" w:after="0"/>
            <w:ind w:left="1750" w:right="0" w:hanging="855"/>
            <w:jc w:val="left"/>
          </w:pPr>
          <w:hyperlink w:history="true" w:anchor="_TOC_250013">
            <w:r>
              <w:rPr/>
              <w:t>L’Ammonium</w:t>
            </w:r>
            <w:r>
              <w:rPr>
                <w:spacing w:val="-1"/>
              </w:rPr>
              <w:t> </w:t>
            </w:r>
            <w:r>
              <w:rPr/>
              <w:t>NH4+</w:t>
              <w:tab/>
              <w:t>49</w:t>
            </w:r>
          </w:hyperlink>
        </w:p>
        <w:p>
          <w:pPr>
            <w:pStyle w:val="TOC3"/>
            <w:numPr>
              <w:ilvl w:val="2"/>
              <w:numId w:val="8"/>
            </w:numPr>
            <w:tabs>
              <w:tab w:pos="1691" w:val="left" w:leader="none"/>
              <w:tab w:pos="8968" w:val="right" w:leader="dot"/>
            </w:tabs>
            <w:spacing w:line="240" w:lineRule="auto" w:before="140" w:after="0"/>
            <w:ind w:left="1690" w:right="0" w:hanging="795"/>
            <w:jc w:val="left"/>
          </w:pPr>
          <w:hyperlink w:history="true" w:anchor="_TOC_250012">
            <w:r>
              <w:rPr/>
              <w:t>Les</w:t>
            </w:r>
            <w:r>
              <w:rPr>
                <w:spacing w:val="-3"/>
              </w:rPr>
              <w:t> </w:t>
            </w:r>
            <w:r>
              <w:rPr/>
              <w:t>Nitrates</w:t>
              <w:tab/>
              <w:t>50</w:t>
            </w:r>
          </w:hyperlink>
        </w:p>
        <w:p>
          <w:pPr>
            <w:pStyle w:val="TOC3"/>
            <w:numPr>
              <w:ilvl w:val="2"/>
              <w:numId w:val="8"/>
            </w:numPr>
            <w:tabs>
              <w:tab w:pos="1691" w:val="left" w:leader="none"/>
              <w:tab w:pos="8968" w:val="right" w:leader="dot"/>
            </w:tabs>
            <w:spacing w:line="240" w:lineRule="auto" w:before="140" w:after="240"/>
            <w:ind w:left="1690" w:right="0" w:hanging="795"/>
            <w:jc w:val="left"/>
          </w:pPr>
          <w:hyperlink w:history="true" w:anchor="_TOC_250011">
            <w:r>
              <w:rPr/>
              <w:t>Les</w:t>
            </w:r>
            <w:r>
              <w:rPr>
                <w:spacing w:val="-3"/>
              </w:rPr>
              <w:t> </w:t>
            </w:r>
            <w:r>
              <w:rPr/>
              <w:t>Nitrites</w:t>
              <w:tab/>
              <w:t>51</w:t>
            </w:r>
          </w:hyperlink>
        </w:p>
        <w:p>
          <w:pPr>
            <w:pStyle w:val="TOC3"/>
            <w:numPr>
              <w:ilvl w:val="2"/>
              <w:numId w:val="8"/>
            </w:numPr>
            <w:tabs>
              <w:tab w:pos="1743" w:val="left" w:leader="none"/>
              <w:tab w:pos="8968" w:val="right" w:leader="dot"/>
            </w:tabs>
            <w:spacing w:line="240" w:lineRule="auto" w:before="66" w:after="0"/>
            <w:ind w:left="1743" w:right="0" w:hanging="848"/>
            <w:jc w:val="left"/>
          </w:pPr>
          <w:hyperlink w:history="true" w:anchor="_TOC_250010">
            <w:r>
              <w:rPr/>
              <w:t>Résidu</w:t>
            </w:r>
            <w:r>
              <w:rPr>
                <w:spacing w:val="-2"/>
              </w:rPr>
              <w:t> </w:t>
            </w:r>
            <w:r>
              <w:rPr/>
              <w:t>sec</w:t>
              <w:tab/>
              <w:t>51</w:t>
            </w:r>
          </w:hyperlink>
        </w:p>
        <w:p>
          <w:pPr>
            <w:pStyle w:val="TOC3"/>
            <w:numPr>
              <w:ilvl w:val="2"/>
              <w:numId w:val="9"/>
            </w:numPr>
            <w:tabs>
              <w:tab w:pos="1751" w:val="left" w:leader="none"/>
              <w:tab w:pos="8968" w:val="right" w:leader="dot"/>
            </w:tabs>
            <w:spacing w:line="240" w:lineRule="auto" w:before="144" w:after="0"/>
            <w:ind w:left="1750" w:right="0" w:hanging="855"/>
            <w:jc w:val="left"/>
          </w:pPr>
          <w:hyperlink w:history="true" w:anchor="_TOC_250009">
            <w:r>
              <w:rPr>
                <w:spacing w:val="-4"/>
              </w:rPr>
              <w:t>Le</w:t>
            </w:r>
            <w:r>
              <w:rPr>
                <w:spacing w:val="1"/>
              </w:rPr>
              <w:t> </w:t>
            </w:r>
            <w:r>
              <w:rPr/>
              <w:t>Chlorure</w:t>
              <w:tab/>
              <w:t>52</w:t>
            </w:r>
          </w:hyperlink>
        </w:p>
        <w:p>
          <w:pPr>
            <w:pStyle w:val="TOC3"/>
            <w:numPr>
              <w:ilvl w:val="2"/>
              <w:numId w:val="9"/>
            </w:numPr>
            <w:tabs>
              <w:tab w:pos="1751" w:val="left" w:leader="none"/>
              <w:tab w:pos="8968" w:val="right" w:leader="dot"/>
            </w:tabs>
            <w:spacing w:line="240" w:lineRule="auto" w:before="140" w:after="0"/>
            <w:ind w:left="1750" w:right="0" w:hanging="855"/>
            <w:jc w:val="left"/>
          </w:pPr>
          <w:hyperlink w:history="true" w:anchor="_TOC_250008">
            <w:r>
              <w:rPr>
                <w:spacing w:val="-4"/>
              </w:rPr>
              <w:t>Le</w:t>
            </w:r>
            <w:r>
              <w:rPr>
                <w:spacing w:val="1"/>
              </w:rPr>
              <w:t> </w:t>
            </w:r>
            <w:r>
              <w:rPr/>
              <w:t>sulfate</w:t>
              <w:tab/>
              <w:t>53</w:t>
            </w:r>
          </w:hyperlink>
        </w:p>
        <w:p>
          <w:pPr>
            <w:pStyle w:val="TOC3"/>
            <w:numPr>
              <w:ilvl w:val="2"/>
              <w:numId w:val="9"/>
            </w:numPr>
            <w:tabs>
              <w:tab w:pos="1752" w:val="left" w:leader="none"/>
              <w:tab w:pos="8968" w:val="right" w:leader="dot"/>
            </w:tabs>
            <w:spacing w:line="240" w:lineRule="auto" w:before="139" w:after="0"/>
            <w:ind w:left="1751" w:right="0" w:hanging="856"/>
            <w:jc w:val="left"/>
          </w:pPr>
          <w:hyperlink w:history="true" w:anchor="_TOC_250007">
            <w:r>
              <w:rPr>
                <w:spacing w:val="-4"/>
              </w:rPr>
              <w:t>Le</w:t>
            </w:r>
            <w:r>
              <w:rPr>
                <w:spacing w:val="1"/>
              </w:rPr>
              <w:t> </w:t>
            </w:r>
            <w:r>
              <w:rPr/>
              <w:t>fer</w:t>
              <w:tab/>
              <w:t>53</w:t>
            </w:r>
          </w:hyperlink>
        </w:p>
        <w:p>
          <w:pPr>
            <w:pStyle w:val="TOC2"/>
            <w:numPr>
              <w:ilvl w:val="1"/>
              <w:numId w:val="7"/>
            </w:numPr>
            <w:tabs>
              <w:tab w:pos="1232" w:val="left" w:leader="none"/>
              <w:tab w:pos="8968" w:val="right" w:leader="dot"/>
            </w:tabs>
            <w:spacing w:line="240" w:lineRule="auto" w:before="145" w:after="0"/>
            <w:ind w:left="1231" w:right="0" w:hanging="556"/>
            <w:jc w:val="left"/>
          </w:pPr>
          <w:hyperlink w:history="true" w:anchor="_TOC_250006">
            <w:r>
              <w:rPr/>
              <w:t>Les</w:t>
            </w:r>
            <w:r>
              <w:rPr>
                <w:spacing w:val="-3"/>
              </w:rPr>
              <w:t> </w:t>
            </w:r>
            <w:r>
              <w:rPr/>
              <w:t>analyses</w:t>
            </w:r>
            <w:r>
              <w:rPr>
                <w:spacing w:val="-2"/>
              </w:rPr>
              <w:t> </w:t>
            </w:r>
            <w:r>
              <w:rPr/>
              <w:t>bactériologiques</w:t>
              <w:tab/>
              <w:t>54</w:t>
            </w:r>
          </w:hyperlink>
        </w:p>
        <w:p>
          <w:pPr>
            <w:pStyle w:val="TOC3"/>
            <w:numPr>
              <w:ilvl w:val="2"/>
              <w:numId w:val="7"/>
            </w:numPr>
            <w:tabs>
              <w:tab w:pos="1631" w:val="left" w:leader="none"/>
              <w:tab w:pos="8968" w:val="right" w:leader="dot"/>
            </w:tabs>
            <w:spacing w:line="240" w:lineRule="auto" w:before="140" w:after="0"/>
            <w:ind w:left="1630" w:right="0" w:hanging="735"/>
            <w:jc w:val="left"/>
          </w:pPr>
          <w:hyperlink w:history="true" w:anchor="_TOC_250005">
            <w:r>
              <w:rPr>
                <w:spacing w:val="-4"/>
              </w:rPr>
              <w:t>La </w:t>
            </w:r>
            <w:r>
              <w:rPr/>
              <w:t>flore</w:t>
            </w:r>
            <w:r>
              <w:rPr>
                <w:spacing w:val="5"/>
              </w:rPr>
              <w:t> </w:t>
            </w:r>
            <w:r>
              <w:rPr/>
              <w:t>mésophile</w:t>
            </w:r>
            <w:r>
              <w:rPr>
                <w:spacing w:val="1"/>
              </w:rPr>
              <w:t> </w:t>
            </w:r>
            <w:r>
              <w:rPr/>
              <w:t>totale</w:t>
              <w:tab/>
              <w:t>54</w:t>
            </w:r>
          </w:hyperlink>
        </w:p>
        <w:p>
          <w:pPr>
            <w:pStyle w:val="TOC3"/>
            <w:numPr>
              <w:ilvl w:val="2"/>
              <w:numId w:val="7"/>
            </w:numPr>
            <w:tabs>
              <w:tab w:pos="1631" w:val="left" w:leader="none"/>
              <w:tab w:pos="8968" w:val="right" w:leader="dot"/>
            </w:tabs>
            <w:spacing w:line="240" w:lineRule="auto" w:before="139" w:after="0"/>
            <w:ind w:left="1630" w:right="0" w:hanging="735"/>
            <w:jc w:val="left"/>
          </w:pPr>
          <w:hyperlink w:history="true" w:anchor="_TOC_250004">
            <w:r>
              <w:rPr/>
              <w:t>LesColiformes</w:t>
            </w:r>
            <w:r>
              <w:rPr>
                <w:spacing w:val="-3"/>
              </w:rPr>
              <w:t> </w:t>
            </w:r>
            <w:r>
              <w:rPr/>
              <w:t>totaux</w:t>
              <w:tab/>
              <w:t>55</w:t>
            </w:r>
          </w:hyperlink>
        </w:p>
        <w:p>
          <w:pPr>
            <w:pStyle w:val="TOC3"/>
            <w:numPr>
              <w:ilvl w:val="2"/>
              <w:numId w:val="7"/>
            </w:numPr>
            <w:tabs>
              <w:tab w:pos="1631" w:val="left" w:leader="none"/>
              <w:tab w:pos="8968" w:val="right" w:leader="dot"/>
            </w:tabs>
            <w:spacing w:line="240" w:lineRule="auto" w:before="144" w:after="0"/>
            <w:ind w:left="1630" w:right="0" w:hanging="735"/>
            <w:jc w:val="left"/>
          </w:pPr>
          <w:hyperlink w:history="true" w:anchor="_TOC_250003">
            <w:r>
              <w:rPr/>
              <w:t>Les</w:t>
            </w:r>
            <w:r>
              <w:rPr>
                <w:spacing w:val="-2"/>
              </w:rPr>
              <w:t> </w:t>
            </w:r>
            <w:r>
              <w:rPr/>
              <w:t>coliformes</w:t>
            </w:r>
            <w:r>
              <w:rPr>
                <w:spacing w:val="-2"/>
              </w:rPr>
              <w:t> </w:t>
            </w:r>
            <w:r>
              <w:rPr/>
              <w:t>fécaux</w:t>
              <w:tab/>
              <w:t>56</w:t>
            </w:r>
          </w:hyperlink>
        </w:p>
        <w:p>
          <w:pPr>
            <w:pStyle w:val="TOC3"/>
            <w:numPr>
              <w:ilvl w:val="2"/>
              <w:numId w:val="7"/>
            </w:numPr>
            <w:tabs>
              <w:tab w:pos="1631" w:val="left" w:leader="none"/>
              <w:tab w:pos="8968" w:val="right" w:leader="dot"/>
            </w:tabs>
            <w:spacing w:line="240" w:lineRule="auto" w:before="140" w:after="0"/>
            <w:ind w:left="1630" w:right="0" w:hanging="735"/>
            <w:jc w:val="left"/>
          </w:pPr>
          <w:hyperlink w:history="true" w:anchor="_TOC_250002">
            <w:r>
              <w:rPr/>
              <w:t>Les</w:t>
            </w:r>
            <w:r>
              <w:rPr>
                <w:spacing w:val="-3"/>
              </w:rPr>
              <w:t> </w:t>
            </w:r>
            <w:r>
              <w:rPr/>
              <w:t>Streptocoques</w:t>
            </w:r>
            <w:r>
              <w:rPr>
                <w:spacing w:val="-2"/>
              </w:rPr>
              <w:t> </w:t>
            </w:r>
            <w:r>
              <w:rPr/>
              <w:t>fécaux</w:t>
              <w:tab/>
              <w:t>57</w:t>
            </w:r>
          </w:hyperlink>
        </w:p>
        <w:p>
          <w:pPr>
            <w:pStyle w:val="TOC3"/>
            <w:numPr>
              <w:ilvl w:val="2"/>
              <w:numId w:val="7"/>
            </w:numPr>
            <w:tabs>
              <w:tab w:pos="1631" w:val="left" w:leader="none"/>
              <w:tab w:pos="8968" w:val="right" w:leader="dot"/>
            </w:tabs>
            <w:spacing w:line="240" w:lineRule="auto" w:before="140" w:after="0"/>
            <w:ind w:left="1630" w:right="0" w:hanging="735"/>
            <w:jc w:val="left"/>
          </w:pPr>
          <w:hyperlink w:history="true" w:anchor="_TOC_250001">
            <w:r>
              <w:rPr/>
              <w:t>Les anaérobies</w:t>
            </w:r>
            <w:r>
              <w:rPr>
                <w:spacing w:val="-5"/>
              </w:rPr>
              <w:t> </w:t>
            </w:r>
            <w:r>
              <w:rPr/>
              <w:t>sulfito-réducteur</w:t>
            </w:r>
            <w:r>
              <w:rPr>
                <w:spacing w:val="-1"/>
              </w:rPr>
              <w:t> </w:t>
            </w:r>
            <w:r>
              <w:rPr/>
              <w:t>(ASR)</w:t>
              <w:tab/>
              <w:t>58</w:t>
            </w:r>
          </w:hyperlink>
        </w:p>
        <w:p>
          <w:pPr>
            <w:pStyle w:val="TOC1"/>
            <w:tabs>
              <w:tab w:pos="8968" w:val="right" w:leader="dot"/>
            </w:tabs>
            <w:rPr>
              <w:b w:val="0"/>
            </w:rPr>
          </w:pPr>
          <w:hyperlink w:history="true" w:anchor="_TOC_250000">
            <w:r>
              <w:rPr/>
              <w:t>Conclusion</w:t>
              <w:tab/>
            </w:r>
            <w:r>
              <w:rPr>
                <w:b w:val="0"/>
              </w:rPr>
              <w:t>59</w:t>
            </w:r>
          </w:hyperlink>
        </w:p>
      </w:sdtContent>
    </w:sdt>
    <w:p>
      <w:pPr>
        <w:spacing w:after="0"/>
        <w:sectPr>
          <w:type w:val="continuous"/>
          <w:pgSz w:w="11900" w:h="16840"/>
          <w:pgMar w:top="1360" w:bottom="1479" w:left="740" w:right="0"/>
        </w:sectPr>
      </w:pPr>
    </w:p>
    <w:p>
      <w:pPr>
        <w:spacing w:line="448" w:lineRule="auto" w:before="663"/>
        <w:ind w:left="675" w:right="6725" w:firstLine="0"/>
        <w:jc w:val="left"/>
        <w:rPr>
          <w:b/>
          <w:sz w:val="24"/>
        </w:rPr>
      </w:pPr>
      <w:r>
        <w:rPr>
          <w:b/>
          <w:sz w:val="24"/>
        </w:rPr>
        <w:t>Références bibliographiques Annexes</w:t>
      </w:r>
    </w:p>
    <w:p>
      <w:pPr>
        <w:spacing w:line="276" w:lineRule="exact" w:before="0"/>
        <w:ind w:left="675" w:right="0" w:firstLine="0"/>
        <w:jc w:val="left"/>
        <w:rPr>
          <w:b/>
          <w:sz w:val="24"/>
        </w:rPr>
      </w:pPr>
      <w:r>
        <w:rPr>
          <w:b/>
          <w:sz w:val="24"/>
        </w:rPr>
        <w:t>Résumé</w:t>
      </w:r>
    </w:p>
    <w:p>
      <w:pPr>
        <w:spacing w:after="0" w:line="276" w:lineRule="exact"/>
        <w:jc w:val="left"/>
        <w:rPr>
          <w:sz w:val="24"/>
        </w:rPr>
        <w:sectPr>
          <w:type w:val="continuous"/>
          <w:pgSz w:w="11900" w:h="16840"/>
          <w:pgMar w:top="1360" w:bottom="280" w:left="740" w:right="0"/>
        </w:sectPr>
      </w:pPr>
    </w:p>
    <w:p>
      <w:pPr>
        <w:pStyle w:val="BodyText"/>
        <w:rPr>
          <w:b/>
          <w:sz w:val="130"/>
        </w:rPr>
      </w:pPr>
    </w:p>
    <w:p>
      <w:pPr>
        <w:pStyle w:val="BodyText"/>
        <w:rPr>
          <w:b/>
          <w:sz w:val="130"/>
        </w:rPr>
      </w:pPr>
    </w:p>
    <w:p>
      <w:pPr>
        <w:pStyle w:val="BodyText"/>
        <w:rPr>
          <w:b/>
          <w:sz w:val="169"/>
        </w:rPr>
      </w:pPr>
    </w:p>
    <w:p>
      <w:pPr>
        <w:pStyle w:val="Heading2"/>
        <w:spacing w:before="0"/>
        <w:ind w:left="1943"/>
      </w:pPr>
      <w:bookmarkStart w:name="_TOC_250080" w:id="1"/>
      <w:bookmarkEnd w:id="1"/>
      <w:r>
        <w:rPr>
          <w:color w:val="8063A1"/>
        </w:rPr>
        <w:t>Introduction</w:t>
      </w:r>
    </w:p>
    <w:p>
      <w:pPr>
        <w:spacing w:after="0"/>
        <w:sectPr>
          <w:pgSz w:w="11900" w:h="16840"/>
          <w:pgMar w:top="1600" w:bottom="280" w:left="740" w:right="0"/>
          <w:pgBorders w:offsetFrom="page">
            <w:top w:val="single" w:color="000000" w:space="24" w:sz="36"/>
            <w:left w:val="single" w:color="000000" w:space="24" w:sz="36"/>
            <w:bottom w:val="single" w:color="000000" w:space="24" w:sz="36"/>
            <w:right w:val="single" w:color="000000" w:space="23" w:sz="36"/>
          </w:pgBorders>
        </w:sectPr>
      </w:pPr>
    </w:p>
    <w:p>
      <w:pPr>
        <w:pStyle w:val="BodyText"/>
        <w:spacing w:before="11"/>
        <w:rPr>
          <w:rFonts w:ascii="Lucida Calligraphy"/>
          <w:b/>
          <w:i/>
          <w:sz w:val="13"/>
        </w:rPr>
      </w:pPr>
    </w:p>
    <w:p>
      <w:pPr>
        <w:spacing w:before="88"/>
        <w:ind w:left="675" w:right="0" w:firstLine="0"/>
        <w:jc w:val="left"/>
        <w:rPr>
          <w:b/>
          <w:sz w:val="28"/>
        </w:rPr>
      </w:pPr>
      <w:r>
        <w:rPr>
          <w:b/>
          <w:sz w:val="28"/>
        </w:rPr>
        <w:t>Introduction :</w:t>
      </w:r>
    </w:p>
    <w:p>
      <w:pPr>
        <w:pStyle w:val="BodyText"/>
        <w:spacing w:before="3"/>
        <w:rPr>
          <w:b/>
          <w:sz w:val="31"/>
        </w:rPr>
      </w:pPr>
    </w:p>
    <w:p>
      <w:pPr>
        <w:pStyle w:val="BodyText"/>
        <w:spacing w:line="360" w:lineRule="auto"/>
        <w:ind w:left="675" w:right="1416" w:firstLine="707"/>
        <w:jc w:val="both"/>
      </w:pPr>
      <w:r>
        <w:rPr/>
        <w:t>L’eau constitue un élément essentiel dans la vie et dans l’activité humaine en participant à toutes les activités quotidiennes notamment, domestiques, industrielles et agricoles. Elle devient par voie de conséquence un élément récepteur exposé à tous les genres de pollution et un transporteur potentiel de nombreuses maladies </w:t>
      </w:r>
      <w:r>
        <w:rPr>
          <w:b/>
        </w:rPr>
        <w:t>(</w:t>
      </w:r>
      <w:r>
        <w:rPr/>
        <w:t>Aouissi</w:t>
      </w:r>
      <w:r>
        <w:rPr>
          <w:i/>
        </w:rPr>
        <w:t>, </w:t>
      </w:r>
      <w:r>
        <w:rPr/>
        <w:t>2010).</w:t>
      </w:r>
    </w:p>
    <w:p>
      <w:pPr>
        <w:pStyle w:val="BodyText"/>
        <w:spacing w:line="360" w:lineRule="auto" w:before="199"/>
        <w:ind w:left="675" w:right="1417" w:firstLine="707"/>
        <w:jc w:val="both"/>
      </w:pPr>
      <w:r>
        <w:rPr>
          <w:spacing w:val="-4"/>
        </w:rPr>
        <w:t>La</w:t>
      </w:r>
      <w:r>
        <w:rPr>
          <w:spacing w:val="52"/>
        </w:rPr>
        <w:t> </w:t>
      </w:r>
      <w:r>
        <w:rPr/>
        <w:t>qualité des eaux dans le monde a connu ces dernières années une grande détérioration, à cause des rejets industriels non contrôlés, de l'utilisation intensive des engrais chimiques dans l'agriculture d'une part ainsi que l'exploitation désordonnée des ressources en eau d'autre part. Ces altérations provoquent des modifications considérables la rendant impropre aux usages souhaités (Bechiri, 2011).</w:t>
      </w:r>
    </w:p>
    <w:p>
      <w:pPr>
        <w:pStyle w:val="BodyText"/>
        <w:spacing w:line="357" w:lineRule="auto" w:before="201"/>
        <w:ind w:left="675" w:right="1409" w:firstLine="707"/>
        <w:jc w:val="both"/>
      </w:pPr>
      <w:r>
        <w:rPr/>
        <w:t>A cet effet il est devenu très utile de procéder à des contrôles et des analyses physico- chimiques et microbiologiques de l’eau périodiquement.</w:t>
      </w:r>
    </w:p>
    <w:p>
      <w:pPr>
        <w:pStyle w:val="BodyText"/>
        <w:spacing w:line="360" w:lineRule="auto" w:before="206"/>
        <w:ind w:left="675" w:right="1420" w:firstLine="771"/>
        <w:jc w:val="both"/>
      </w:pPr>
      <w:r>
        <w:rPr>
          <w:spacing w:val="-6"/>
        </w:rPr>
        <w:t>La </w:t>
      </w:r>
      <w:r>
        <w:rPr/>
        <w:t>consommation d’une eau souillée contenant des microorganismes pathogènes, est  à l’origine de nombreuses maladies. Elle constitue un véritable problème </w:t>
      </w:r>
      <w:r>
        <w:rPr>
          <w:spacing w:val="-3"/>
        </w:rPr>
        <w:t>de </w:t>
      </w:r>
      <w:r>
        <w:rPr/>
        <w:t>santé publique. Dans les pays où les conditions sanitaires sont respectées, les organismes pathogènes sont le plus souvent à l’origine de gastro-entérites qui restent en général à des niveaux endémiques. Dans les pays où les conditions sanitaires sont douteuses, les maladies d’origines hydriques peuvent entraîner des épidémies nettement plus graves (OMS,</w:t>
      </w:r>
      <w:r>
        <w:rPr>
          <w:spacing w:val="-11"/>
        </w:rPr>
        <w:t> </w:t>
      </w:r>
      <w:r>
        <w:rPr/>
        <w:t>1994).</w:t>
      </w:r>
    </w:p>
    <w:p>
      <w:pPr>
        <w:pStyle w:val="BodyText"/>
        <w:spacing w:line="357" w:lineRule="auto" w:before="199"/>
        <w:ind w:left="675" w:right="1416" w:firstLine="707"/>
        <w:jc w:val="both"/>
      </w:pPr>
      <w:r>
        <w:rPr/>
        <w:t>Le but de notre travail est de vérifier la qualité physico-chimique et bactériologique de l’eau de source dans deux limites de la wilaya de Guelma, Oued Zenati et Nechmaya.</w:t>
      </w:r>
    </w:p>
    <w:p>
      <w:pPr>
        <w:pStyle w:val="BodyText"/>
        <w:spacing w:line="357" w:lineRule="auto" w:before="204"/>
        <w:ind w:left="675" w:right="1418"/>
        <w:jc w:val="both"/>
      </w:pPr>
      <w:r>
        <w:rPr/>
        <w:t>Le présent travail est consacré au suivi de la qualité physico-chimique et bactériologique de quelques sources et stations de pompages situé dans la wilaya de Guelma (</w:t>
      </w:r>
      <w:r>
        <w:rPr>
          <w:color w:val="1B1B1B"/>
        </w:rPr>
        <w:t>Ain Askor</w:t>
      </w:r>
      <w:r>
        <w:rPr/>
        <w:t>, Ain </w:t>
      </w:r>
      <w:r>
        <w:rPr>
          <w:color w:val="1B1B1B"/>
        </w:rPr>
        <w:t>Bouzerrafa</w:t>
      </w:r>
      <w:r>
        <w:rPr/>
        <w:t>, </w:t>
      </w:r>
      <w:r>
        <w:rPr>
          <w:color w:val="1B1B1B"/>
        </w:rPr>
        <w:t>Boua Ouled Chiha</w:t>
      </w:r>
      <w:r>
        <w:rPr/>
        <w:t>, </w:t>
      </w:r>
      <w:r>
        <w:rPr>
          <w:color w:val="1B1B1B"/>
        </w:rPr>
        <w:t>Ain Drahem</w:t>
      </w:r>
      <w:r>
        <w:rPr/>
        <w:t>, </w:t>
      </w:r>
      <w:r>
        <w:rPr>
          <w:color w:val="1B1B1B"/>
        </w:rPr>
        <w:t>Ain Guettara</w:t>
      </w:r>
      <w:r>
        <w:rPr/>
        <w:t>, </w:t>
      </w:r>
      <w:r>
        <w:rPr>
          <w:color w:val="1B1B1B"/>
        </w:rPr>
        <w:t>Ain Bniguimen</w:t>
      </w:r>
      <w:r>
        <w:rPr/>
        <w:t>).</w:t>
      </w:r>
    </w:p>
    <w:p>
      <w:pPr>
        <w:pStyle w:val="BodyText"/>
        <w:spacing w:before="207"/>
        <w:ind w:left="675"/>
      </w:pPr>
      <w:r>
        <w:rPr/>
        <w:t>Le manuscrit est structuré en quatre chapitres :</w:t>
      </w:r>
    </w:p>
    <w:p>
      <w:pPr>
        <w:pStyle w:val="BodyText"/>
        <w:spacing w:before="1"/>
        <w:rPr>
          <w:sz w:val="29"/>
        </w:rPr>
      </w:pPr>
    </w:p>
    <w:p>
      <w:pPr>
        <w:pStyle w:val="ListParagraph"/>
        <w:numPr>
          <w:ilvl w:val="3"/>
          <w:numId w:val="7"/>
        </w:numPr>
        <w:tabs>
          <w:tab w:pos="1439" w:val="left" w:leader="none"/>
          <w:tab w:pos="2508" w:val="left" w:leader="none"/>
          <w:tab w:pos="3114" w:val="left" w:leader="none"/>
          <w:tab w:pos="4446" w:val="left" w:leader="none"/>
          <w:tab w:pos="4978" w:val="left" w:leader="none"/>
          <w:tab w:pos="5696" w:val="left" w:leader="none"/>
          <w:tab w:pos="7508" w:val="left" w:leader="none"/>
          <w:tab w:pos="9566" w:val="left" w:leader="none"/>
        </w:tabs>
        <w:spacing w:line="362" w:lineRule="auto" w:before="1" w:after="0"/>
        <w:ind w:left="1438" w:right="1417" w:hanging="359"/>
        <w:jc w:val="left"/>
        <w:rPr>
          <w:sz w:val="24"/>
        </w:rPr>
      </w:pPr>
      <w:r>
        <w:rPr>
          <w:sz w:val="24"/>
        </w:rPr>
        <w:t>Chapitre</w:t>
        <w:tab/>
        <w:t>01</w:t>
      </w:r>
      <w:r>
        <w:rPr>
          <w:spacing w:val="2"/>
          <w:sz w:val="24"/>
        </w:rPr>
        <w:t> </w:t>
      </w:r>
      <w:r>
        <w:rPr>
          <w:sz w:val="24"/>
        </w:rPr>
        <w:t>:</w:t>
        <w:tab/>
        <w:t>Généralités</w:t>
        <w:tab/>
        <w:t>sur</w:t>
        <w:tab/>
        <w:t>l’eau</w:t>
        <w:tab/>
        <w:t>(caractéristiques</w:t>
        <w:tab/>
        <w:t>physico-chimiques</w:t>
        <w:tab/>
      </w:r>
      <w:r>
        <w:rPr>
          <w:spacing w:val="-13"/>
          <w:sz w:val="24"/>
        </w:rPr>
        <w:t>et </w:t>
      </w:r>
      <w:r>
        <w:rPr>
          <w:sz w:val="24"/>
        </w:rPr>
        <w:t>bactériologiques des eaux </w:t>
      </w:r>
      <w:r>
        <w:rPr>
          <w:spacing w:val="-3"/>
          <w:sz w:val="24"/>
        </w:rPr>
        <w:t>de </w:t>
      </w:r>
      <w:r>
        <w:rPr>
          <w:sz w:val="24"/>
        </w:rPr>
        <w:t>sources et leurs influences sur la santé</w:t>
      </w:r>
      <w:r>
        <w:rPr>
          <w:spacing w:val="-8"/>
          <w:sz w:val="24"/>
        </w:rPr>
        <w:t> </w:t>
      </w:r>
      <w:r>
        <w:rPr>
          <w:sz w:val="24"/>
        </w:rPr>
        <w:t>humaine).</w:t>
      </w:r>
    </w:p>
    <w:p>
      <w:pPr>
        <w:pStyle w:val="ListParagraph"/>
        <w:numPr>
          <w:ilvl w:val="3"/>
          <w:numId w:val="7"/>
        </w:numPr>
        <w:tabs>
          <w:tab w:pos="1498" w:val="left" w:leader="none"/>
          <w:tab w:pos="1499" w:val="left" w:leader="none"/>
        </w:tabs>
        <w:spacing w:line="240" w:lineRule="auto" w:before="194" w:after="0"/>
        <w:ind w:left="1498" w:right="0" w:hanging="419"/>
        <w:jc w:val="left"/>
        <w:rPr>
          <w:sz w:val="24"/>
        </w:rPr>
      </w:pPr>
      <w:r>
        <w:rPr>
          <w:sz w:val="24"/>
        </w:rPr>
        <w:t>Chapitre 02 : Description de la zone</w:t>
      </w:r>
      <w:r>
        <w:rPr>
          <w:spacing w:val="-4"/>
          <w:sz w:val="24"/>
        </w:rPr>
        <w:t> </w:t>
      </w:r>
      <w:r>
        <w:rPr>
          <w:sz w:val="24"/>
        </w:rPr>
        <w:t>d’étude.</w:t>
      </w:r>
    </w:p>
    <w:p>
      <w:pPr>
        <w:pStyle w:val="BodyText"/>
        <w:spacing w:before="6"/>
        <w:rPr>
          <w:sz w:val="29"/>
        </w:rPr>
      </w:pPr>
    </w:p>
    <w:p>
      <w:pPr>
        <w:pStyle w:val="ListParagraph"/>
        <w:numPr>
          <w:ilvl w:val="3"/>
          <w:numId w:val="7"/>
        </w:numPr>
        <w:tabs>
          <w:tab w:pos="1439" w:val="left" w:leader="none"/>
        </w:tabs>
        <w:spacing w:line="240" w:lineRule="auto" w:before="0" w:after="0"/>
        <w:ind w:left="1438" w:right="0" w:hanging="359"/>
        <w:jc w:val="left"/>
        <w:rPr>
          <w:sz w:val="24"/>
        </w:rPr>
      </w:pPr>
      <w:r>
        <w:rPr>
          <w:sz w:val="24"/>
        </w:rPr>
        <w:t>Chapitre 03 : Matériel et</w:t>
      </w:r>
      <w:r>
        <w:rPr>
          <w:spacing w:val="-14"/>
          <w:sz w:val="24"/>
        </w:rPr>
        <w:t> </w:t>
      </w:r>
      <w:r>
        <w:rPr>
          <w:sz w:val="24"/>
        </w:rPr>
        <w:t>méthodes.</w:t>
      </w:r>
    </w:p>
    <w:p>
      <w:pPr>
        <w:spacing w:after="0" w:line="240" w:lineRule="auto"/>
        <w:jc w:val="left"/>
        <w:rPr>
          <w:sz w:val="24"/>
        </w:rPr>
        <w:sectPr>
          <w:headerReference w:type="default" r:id="rId35"/>
          <w:footerReference w:type="default" r:id="rId36"/>
          <w:pgSz w:w="11900" w:h="16840"/>
          <w:pgMar w:header="727" w:footer="996" w:top="1180" w:bottom="1180" w:left="740" w:right="0"/>
          <w:pgNumType w:start="1"/>
        </w:sectPr>
      </w:pPr>
    </w:p>
    <w:p>
      <w:pPr>
        <w:pStyle w:val="BodyText"/>
        <w:spacing w:before="10"/>
        <w:rPr>
          <w:sz w:val="15"/>
        </w:rPr>
      </w:pPr>
    </w:p>
    <w:p>
      <w:pPr>
        <w:pStyle w:val="ListParagraph"/>
        <w:numPr>
          <w:ilvl w:val="3"/>
          <w:numId w:val="7"/>
        </w:numPr>
        <w:tabs>
          <w:tab w:pos="1439" w:val="left" w:leader="none"/>
        </w:tabs>
        <w:spacing w:line="240" w:lineRule="auto" w:before="91" w:after="0"/>
        <w:ind w:left="1438" w:right="0" w:hanging="359"/>
        <w:jc w:val="left"/>
        <w:rPr>
          <w:sz w:val="24"/>
        </w:rPr>
      </w:pPr>
      <w:r>
        <w:rPr>
          <w:sz w:val="24"/>
        </w:rPr>
        <w:t>Chapitre 04 : Résultats et</w:t>
      </w:r>
      <w:r>
        <w:rPr>
          <w:spacing w:val="-9"/>
          <w:sz w:val="24"/>
        </w:rPr>
        <w:t> </w:t>
      </w:r>
      <w:r>
        <w:rPr>
          <w:sz w:val="24"/>
        </w:rPr>
        <w:t>discussion.</w:t>
      </w:r>
    </w:p>
    <w:p>
      <w:pPr>
        <w:spacing w:after="0" w:line="240" w:lineRule="auto"/>
        <w:jc w:val="left"/>
        <w:rPr>
          <w:sz w:val="24"/>
        </w:rPr>
        <w:sectPr>
          <w:pgSz w:w="11900" w:h="16840"/>
          <w:pgMar w:header="727" w:footer="996" w:top="1180" w:bottom="1180" w:left="74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tabs>
          <w:tab w:pos="7988" w:val="left" w:leader="none"/>
        </w:tabs>
        <w:spacing w:line="312" w:lineRule="auto" w:before="244"/>
        <w:ind w:left="2354" w:right="2906" w:hanging="192"/>
      </w:pPr>
      <w:r>
        <w:rPr>
          <w:color w:val="8063A1"/>
        </w:rPr>
        <w:t>Chapitre</w:t>
      </w:r>
      <w:r>
        <w:rPr>
          <w:color w:val="8063A1"/>
          <w:spacing w:val="-3"/>
        </w:rPr>
        <w:t> </w:t>
      </w:r>
      <w:r>
        <w:rPr>
          <w:color w:val="8063A1"/>
        </w:rPr>
        <w:t>I</w:t>
        <w:tab/>
      </w:r>
      <w:r>
        <w:rPr>
          <w:color w:val="8063A1"/>
          <w:spacing w:val="-18"/>
        </w:rPr>
        <w:t>: </w:t>
      </w:r>
      <w:r>
        <w:rPr>
          <w:color w:val="8063A1"/>
        </w:rPr>
        <w:t>Généralités</w:t>
      </w:r>
    </w:p>
    <w:p>
      <w:pPr>
        <w:spacing w:line="396" w:lineRule="auto" w:before="9"/>
        <w:ind w:left="3118" w:right="5339" w:firstLine="640"/>
        <w:jc w:val="left"/>
        <w:rPr>
          <w:rFonts w:ascii="Lucida Calligraphy" w:hAnsi="Lucida Calligraphy"/>
          <w:b/>
          <w:i/>
          <w:sz w:val="96"/>
        </w:rPr>
      </w:pPr>
      <w:r>
        <w:rPr>
          <w:rFonts w:ascii="Lucida Calligraphy" w:hAnsi="Lucida Calligraphy"/>
          <w:b/>
          <w:i/>
          <w:color w:val="8063A1"/>
          <w:sz w:val="96"/>
        </w:rPr>
        <w:t>Sur </w:t>
      </w:r>
      <w:r>
        <w:rPr>
          <w:rFonts w:ascii="Lucida Calligraphy" w:hAnsi="Lucida Calligraphy"/>
          <w:b/>
          <w:i/>
          <w:color w:val="8063A1"/>
          <w:w w:val="95"/>
          <w:sz w:val="96"/>
        </w:rPr>
        <w:t>L’eau</w:t>
      </w:r>
    </w:p>
    <w:p>
      <w:pPr>
        <w:spacing w:after="0" w:line="396" w:lineRule="auto"/>
        <w:jc w:val="left"/>
        <w:rPr>
          <w:rFonts w:ascii="Lucida Calligraphy" w:hAnsi="Lucida Calligraphy"/>
          <w:sz w:val="96"/>
        </w:rPr>
        <w:sectPr>
          <w:headerReference w:type="default" r:id="rId37"/>
          <w:footerReference w:type="default" r:id="rId38"/>
          <w:pgSz w:w="11900" w:h="16840"/>
          <w:pgMar w:header="0" w:footer="0" w:top="1600" w:bottom="280" w:left="740" w:right="0"/>
          <w:pgBorders w:offsetFrom="page">
            <w:top w:val="single" w:color="000000" w:space="24" w:sz="36"/>
            <w:left w:val="single" w:color="000000" w:space="24" w:sz="36"/>
            <w:bottom w:val="single" w:color="000000" w:space="24" w:sz="36"/>
            <w:right w:val="single" w:color="000000" w:space="23" w:sz="36"/>
          </w:pgBorders>
        </w:sectPr>
      </w:pPr>
    </w:p>
    <w:p>
      <w:pPr>
        <w:pStyle w:val="BodyText"/>
        <w:spacing w:before="11"/>
        <w:rPr>
          <w:rFonts w:ascii="Lucida Calligraphy"/>
          <w:b/>
          <w:i/>
          <w:sz w:val="13"/>
        </w:rPr>
      </w:pPr>
    </w:p>
    <w:p>
      <w:pPr>
        <w:pStyle w:val="Heading3"/>
        <w:numPr>
          <w:ilvl w:val="1"/>
          <w:numId w:val="10"/>
        </w:numPr>
        <w:tabs>
          <w:tab w:pos="1067" w:val="left" w:leader="none"/>
        </w:tabs>
        <w:spacing w:line="240" w:lineRule="auto" w:before="88" w:after="0"/>
        <w:ind w:left="1066" w:right="0" w:hanging="391"/>
        <w:jc w:val="left"/>
      </w:pPr>
      <w:bookmarkStart w:name="_TOC_250079" w:id="2"/>
      <w:r>
        <w:rPr/>
        <w:t>Propriétés de l’eau</w:t>
      </w:r>
      <w:r>
        <w:rPr>
          <w:spacing w:val="4"/>
        </w:rPr>
        <w:t> </w:t>
      </w:r>
      <w:bookmarkEnd w:id="2"/>
      <w:r>
        <w:rPr/>
        <w:t>:</w:t>
      </w:r>
    </w:p>
    <w:p>
      <w:pPr>
        <w:pStyle w:val="BodyText"/>
        <w:spacing w:before="3"/>
        <w:rPr>
          <w:b/>
          <w:sz w:val="31"/>
        </w:rPr>
      </w:pPr>
    </w:p>
    <w:p>
      <w:pPr>
        <w:pStyle w:val="BodyText"/>
        <w:spacing w:line="360" w:lineRule="auto"/>
        <w:ind w:left="675" w:right="1415" w:firstLine="707"/>
        <w:jc w:val="both"/>
      </w:pPr>
      <w:r>
        <w:rPr/>
        <w:t>L’eau est un liquide incolore, inodore, sans saveur et de pH neutre. C’est un excellent solvant entrant dans la composition de la majorité des organismes vivants (Bernard, 2007). L’eau s’allie avec certains sels pour former des hydrates et réagit avec des oxydes des métaux pour former des acides. Elle est utilisée comme catalyseur dans de nombreuses réactions chimiques importantes. Dans la nature, sous l’action du soleil, de la pression atmosphérique et de la température, l’eau change d’état. Et il se trouve sous trois formes :</w:t>
      </w:r>
    </w:p>
    <w:p>
      <w:pPr>
        <w:pStyle w:val="ListParagraph"/>
        <w:numPr>
          <w:ilvl w:val="2"/>
          <w:numId w:val="10"/>
        </w:numPr>
        <w:tabs>
          <w:tab w:pos="1395" w:val="left" w:leader="none"/>
        </w:tabs>
        <w:spacing w:line="352" w:lineRule="auto" w:before="198" w:after="0"/>
        <w:ind w:left="1394" w:right="1425" w:hanging="359"/>
        <w:jc w:val="both"/>
        <w:rPr>
          <w:sz w:val="24"/>
        </w:rPr>
      </w:pPr>
      <w:r>
        <w:rPr>
          <w:b/>
          <w:sz w:val="24"/>
        </w:rPr>
        <w:t>État solide : </w:t>
      </w:r>
      <w:r>
        <w:rPr>
          <w:sz w:val="24"/>
        </w:rPr>
        <w:t>à basse température, l’eau est appelée glace et possède des structures cristallines</w:t>
      </w:r>
      <w:r>
        <w:rPr>
          <w:spacing w:val="-3"/>
          <w:sz w:val="24"/>
        </w:rPr>
        <w:t> </w:t>
      </w:r>
      <w:r>
        <w:rPr>
          <w:sz w:val="24"/>
        </w:rPr>
        <w:t>régulières.</w:t>
      </w:r>
    </w:p>
    <w:p>
      <w:pPr>
        <w:pStyle w:val="ListParagraph"/>
        <w:numPr>
          <w:ilvl w:val="2"/>
          <w:numId w:val="10"/>
        </w:numPr>
        <w:tabs>
          <w:tab w:pos="1395" w:val="left" w:leader="none"/>
        </w:tabs>
        <w:spacing w:line="352" w:lineRule="auto" w:before="6" w:after="0"/>
        <w:ind w:left="1394" w:right="1423" w:hanging="359"/>
        <w:jc w:val="both"/>
        <w:rPr>
          <w:sz w:val="24"/>
        </w:rPr>
      </w:pPr>
      <w:r>
        <w:rPr>
          <w:b/>
          <w:sz w:val="24"/>
        </w:rPr>
        <w:t>État gazeux : </w:t>
      </w:r>
      <w:r>
        <w:rPr>
          <w:sz w:val="24"/>
        </w:rPr>
        <w:t>caractérisé par une absence de forme et de limite physique, il n’y a pas de liaisons entre les molécules, qui sont indépendantes les unes des</w:t>
      </w:r>
      <w:r>
        <w:rPr>
          <w:spacing w:val="-19"/>
          <w:sz w:val="24"/>
        </w:rPr>
        <w:t> </w:t>
      </w:r>
      <w:r>
        <w:rPr>
          <w:sz w:val="24"/>
        </w:rPr>
        <w:t>autres.</w:t>
      </w:r>
    </w:p>
    <w:p>
      <w:pPr>
        <w:pStyle w:val="ListParagraph"/>
        <w:numPr>
          <w:ilvl w:val="2"/>
          <w:numId w:val="10"/>
        </w:numPr>
        <w:tabs>
          <w:tab w:pos="1395" w:val="left" w:leader="none"/>
        </w:tabs>
        <w:spacing w:line="355" w:lineRule="auto" w:before="9" w:after="0"/>
        <w:ind w:left="1394" w:right="1420" w:hanging="359"/>
        <w:jc w:val="both"/>
        <w:rPr>
          <w:sz w:val="24"/>
        </w:rPr>
      </w:pPr>
      <w:r>
        <w:rPr>
          <w:b/>
          <w:sz w:val="24"/>
        </w:rPr>
        <w:t>État liquide : </w:t>
      </w:r>
      <w:r>
        <w:rPr>
          <w:sz w:val="24"/>
        </w:rPr>
        <w:t>caractérisé par une forme non définie. </w:t>
      </w:r>
      <w:r>
        <w:rPr>
          <w:spacing w:val="-4"/>
          <w:sz w:val="24"/>
        </w:rPr>
        <w:t>Les </w:t>
      </w:r>
      <w:r>
        <w:rPr>
          <w:sz w:val="24"/>
        </w:rPr>
        <w:t>molécules peuvent se déplacer les unes par rapport aux autres mais elles restent proches car elles sont liées par des forces intermoléculaires. (Marsily,</w:t>
      </w:r>
      <w:r>
        <w:rPr>
          <w:spacing w:val="-5"/>
          <w:sz w:val="24"/>
        </w:rPr>
        <w:t> </w:t>
      </w:r>
      <w:r>
        <w:rPr>
          <w:sz w:val="24"/>
        </w:rPr>
        <w:t>1995).</w:t>
      </w:r>
    </w:p>
    <w:p>
      <w:pPr>
        <w:pStyle w:val="Heading3"/>
        <w:numPr>
          <w:ilvl w:val="1"/>
          <w:numId w:val="10"/>
        </w:numPr>
        <w:tabs>
          <w:tab w:pos="1135" w:val="left" w:leader="none"/>
        </w:tabs>
        <w:spacing w:line="240" w:lineRule="auto" w:before="207" w:after="0"/>
        <w:ind w:left="1134" w:right="0" w:hanging="459"/>
        <w:jc w:val="left"/>
      </w:pPr>
      <w:bookmarkStart w:name="_TOC_250078" w:id="3"/>
      <w:r>
        <w:rPr/>
        <w:t>Les ressources en eaux</w:t>
      </w:r>
      <w:r>
        <w:rPr>
          <w:spacing w:val="3"/>
        </w:rPr>
        <w:t> </w:t>
      </w:r>
      <w:bookmarkEnd w:id="3"/>
      <w:r>
        <w:rPr/>
        <w:t>:</w:t>
      </w:r>
    </w:p>
    <w:p>
      <w:pPr>
        <w:pStyle w:val="BodyText"/>
        <w:spacing w:before="3"/>
        <w:rPr>
          <w:b/>
          <w:sz w:val="31"/>
        </w:rPr>
      </w:pPr>
    </w:p>
    <w:p>
      <w:pPr>
        <w:pStyle w:val="BodyText"/>
        <w:spacing w:line="360" w:lineRule="auto"/>
        <w:ind w:left="675" w:right="1411" w:firstLine="707"/>
        <w:jc w:val="both"/>
      </w:pPr>
      <w:r>
        <w:rPr/>
        <w:t>L’eau recouvre 72 % de la surface terrestre et représente une réserve totale de 1350 milliard de Km</w:t>
      </w:r>
      <w:r>
        <w:rPr>
          <w:vertAlign w:val="superscript"/>
        </w:rPr>
        <w:t>3</w:t>
      </w:r>
      <w:r>
        <w:rPr>
          <w:vertAlign w:val="baseline"/>
        </w:rPr>
        <w:t> dans la biosphère. Cependant l’eau se trouve en constant recyclage. L’eau douce ne représente que 2.5 % du stocke totale d’eau sur la planète (les 97.5% restant étant salés) : or 2/3 de l’eau douce planétaire est concentrée dans les glaciers et la couverture neigeuse et 1/3 dans les nappes souterraines difficiles d’accès. Il ne reste que 0.3 % de l’eau douce (soit 0.007 % de la totalité de l’eau de la planète) dans les rivières, les ruisseaux, les réservoirs et les lacs. Seule cette infime partie est aisément disponible et se renouvelle relativement rapidement : 16 jours en moyenne pour une rivière, 17 ans pour un lac. (Freidli, 2002).</w:t>
      </w:r>
    </w:p>
    <w:p>
      <w:pPr>
        <w:spacing w:after="0" w:line="360" w:lineRule="auto"/>
        <w:jc w:val="both"/>
        <w:sectPr>
          <w:headerReference w:type="default" r:id="rId39"/>
          <w:footerReference w:type="default" r:id="rId40"/>
          <w:pgSz w:w="11900" w:h="16840"/>
          <w:pgMar w:header="727" w:footer="1061" w:top="1180" w:bottom="1260" w:left="740" w:right="0"/>
          <w:pgNumType w:start="3"/>
        </w:sectPr>
      </w:pPr>
    </w:p>
    <w:p>
      <w:pPr>
        <w:pStyle w:val="BodyText"/>
        <w:spacing w:before="4"/>
        <w:rPr>
          <w:sz w:val="16"/>
        </w:rPr>
      </w:pPr>
    </w:p>
    <w:p>
      <w:pPr>
        <w:pStyle w:val="Heading3"/>
        <w:numPr>
          <w:ilvl w:val="2"/>
          <w:numId w:val="11"/>
        </w:numPr>
        <w:tabs>
          <w:tab w:pos="1347" w:val="left" w:leader="none"/>
        </w:tabs>
        <w:spacing w:line="240" w:lineRule="auto" w:before="88" w:after="0"/>
        <w:ind w:left="1346" w:right="0" w:hanging="671"/>
        <w:jc w:val="left"/>
      </w:pPr>
      <w:bookmarkStart w:name="_TOC_250077" w:id="4"/>
      <w:r>
        <w:rPr/>
        <w:t>Les types d’eau douce</w:t>
      </w:r>
      <w:r>
        <w:rPr>
          <w:spacing w:val="2"/>
        </w:rPr>
        <w:t> </w:t>
      </w:r>
      <w:bookmarkEnd w:id="4"/>
      <w:r>
        <w:rPr/>
        <w:t>:</w:t>
      </w:r>
    </w:p>
    <w:p>
      <w:pPr>
        <w:pStyle w:val="BodyText"/>
        <w:spacing w:before="7"/>
        <w:rPr>
          <w:b/>
          <w:sz w:val="31"/>
        </w:rPr>
      </w:pPr>
    </w:p>
    <w:p>
      <w:pPr>
        <w:pStyle w:val="Heading4"/>
        <w:numPr>
          <w:ilvl w:val="3"/>
          <w:numId w:val="11"/>
        </w:numPr>
        <w:tabs>
          <w:tab w:pos="1427" w:val="left" w:leader="none"/>
        </w:tabs>
        <w:spacing w:line="240" w:lineRule="auto" w:before="0" w:after="0"/>
        <w:ind w:left="1426" w:right="0" w:hanging="751"/>
        <w:jc w:val="left"/>
      </w:pPr>
      <w:bookmarkStart w:name="_TOC_250076" w:id="5"/>
      <w:r>
        <w:rPr/>
        <w:t>Eaux </w:t>
      </w:r>
      <w:r>
        <w:rPr>
          <w:spacing w:val="-3"/>
        </w:rPr>
        <w:t>de </w:t>
      </w:r>
      <w:r>
        <w:rPr/>
        <w:t>surface</w:t>
      </w:r>
      <w:r>
        <w:rPr>
          <w:spacing w:val="6"/>
        </w:rPr>
        <w:t> </w:t>
      </w:r>
      <w:bookmarkEnd w:id="5"/>
      <w:r>
        <w:rPr/>
        <w:t>:</w:t>
      </w:r>
    </w:p>
    <w:p>
      <w:pPr>
        <w:pStyle w:val="BodyText"/>
        <w:spacing w:before="2"/>
        <w:rPr>
          <w:b/>
          <w:sz w:val="29"/>
        </w:rPr>
      </w:pPr>
    </w:p>
    <w:p>
      <w:pPr>
        <w:pStyle w:val="BodyText"/>
        <w:spacing w:line="360" w:lineRule="auto"/>
        <w:ind w:left="675" w:right="1412" w:firstLine="707"/>
        <w:jc w:val="both"/>
      </w:pPr>
      <w:r>
        <w:rPr/>
        <w:t>Composées d’eaux de mer, de fleuve, de rivière, de marigot, ces eaux couvrent la terre. La terre « planète bleue » en raison de la présence d’eau, 97,5% de celle-ci consiste toutefois en eau salée dont l’essentiel est dans les océans et 2,5% seulement en eau douce. Grossies par les eaux de ruissellement, elles reçoivent toutes sortes de déchets contenant des germes nuisibles pour la santé. (Coulibaly, 2005).</w:t>
      </w:r>
    </w:p>
    <w:p>
      <w:pPr>
        <w:pStyle w:val="Heading4"/>
        <w:numPr>
          <w:ilvl w:val="3"/>
          <w:numId w:val="11"/>
        </w:numPr>
        <w:tabs>
          <w:tab w:pos="1427" w:val="left" w:leader="none"/>
        </w:tabs>
        <w:spacing w:line="240" w:lineRule="auto" w:before="202" w:after="0"/>
        <w:ind w:left="1426" w:right="0" w:hanging="751"/>
        <w:jc w:val="left"/>
      </w:pPr>
      <w:bookmarkStart w:name="_TOC_250075" w:id="6"/>
      <w:r>
        <w:rPr/>
        <w:t>Eaux souterraines</w:t>
      </w:r>
      <w:r>
        <w:rPr>
          <w:spacing w:val="-5"/>
        </w:rPr>
        <w:t> </w:t>
      </w:r>
      <w:bookmarkEnd w:id="6"/>
      <w:r>
        <w:rPr/>
        <w:t>:</w:t>
      </w:r>
    </w:p>
    <w:p>
      <w:pPr>
        <w:pStyle w:val="BodyText"/>
        <w:spacing w:before="1"/>
        <w:rPr>
          <w:b/>
          <w:sz w:val="29"/>
        </w:rPr>
      </w:pPr>
    </w:p>
    <w:p>
      <w:pPr>
        <w:pStyle w:val="BodyText"/>
        <w:spacing w:line="360" w:lineRule="auto" w:before="1"/>
        <w:ind w:left="675" w:right="1411" w:firstLine="707"/>
        <w:jc w:val="both"/>
      </w:pPr>
      <w:r>
        <w:rPr/>
        <w:t>Ce sont les eaux des nappes phréatiques qui correspondent 22 % des réserves d’eau douces, soit environ 1000 milliard de m</w:t>
      </w:r>
      <w:r>
        <w:rPr>
          <w:vertAlign w:val="superscript"/>
        </w:rPr>
        <w:t>3</w:t>
      </w:r>
      <w:r>
        <w:rPr>
          <w:vertAlign w:val="baseline"/>
        </w:rPr>
        <w:t>. Leur origine est représentée par l’accumulation des infiltrations et les eaux souterraines sont exemptes de pollution. Cependant elles peuvent, d’une part être contaminées par la technique de puisage, la proximité des latrines ou d’autres sources de pollution, le manque de protection, d’autre part, elles peuvent être chargées par les éléments : eaux saumâtres (Na Cl), eau dure (Ca++), eau ferrugineuse (Fe++). (Coulibaly, 2005).</w:t>
      </w:r>
    </w:p>
    <w:p>
      <w:pPr>
        <w:pStyle w:val="BodyText"/>
        <w:spacing w:before="196"/>
        <w:ind w:left="675"/>
      </w:pPr>
      <w:r>
        <w:rPr/>
        <w:t>La différence entre l’eau de surface et l’eau souterraine été résumé dans le tableau 01.</w:t>
      </w:r>
    </w:p>
    <w:p>
      <w:pPr>
        <w:pStyle w:val="BodyText"/>
        <w:spacing w:before="7"/>
        <w:rPr>
          <w:sz w:val="29"/>
        </w:rPr>
      </w:pPr>
    </w:p>
    <w:p>
      <w:pPr>
        <w:pStyle w:val="BodyText"/>
        <w:ind w:left="107"/>
      </w:pPr>
      <w:r>
        <w:rPr>
          <w:b/>
        </w:rPr>
        <w:t>Tableau 01 : </w:t>
      </w:r>
      <w:r>
        <w:rPr/>
        <w:t>Comparaison entre les eaux de surface et souterraines [1].</w:t>
      </w:r>
    </w:p>
    <w:p>
      <w:pPr>
        <w:pStyle w:val="BodyText"/>
        <w:spacing w:before="2"/>
        <w:rPr>
          <w:sz w:val="29"/>
        </w:rPr>
      </w:pPr>
    </w:p>
    <w:tbl>
      <w:tblPr>
        <w:tblW w:w="0" w:type="auto"/>
        <w:jc w:val="left"/>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49"/>
        <w:gridCol w:w="3242"/>
        <w:gridCol w:w="2845"/>
      </w:tblGrid>
      <w:tr>
        <w:trPr>
          <w:trHeight w:val="609" w:hRule="atLeast"/>
        </w:trPr>
        <w:tc>
          <w:tcPr>
            <w:tcW w:w="2849" w:type="dxa"/>
          </w:tcPr>
          <w:p>
            <w:pPr>
              <w:pStyle w:val="TableParagraph"/>
              <w:spacing w:before="7"/>
              <w:rPr>
                <w:b/>
                <w:sz w:val="24"/>
              </w:rPr>
            </w:pPr>
            <w:r>
              <w:rPr>
                <w:b/>
                <w:sz w:val="24"/>
              </w:rPr>
              <w:t>Caractéristiques</w:t>
            </w:r>
          </w:p>
        </w:tc>
        <w:tc>
          <w:tcPr>
            <w:tcW w:w="3242" w:type="dxa"/>
          </w:tcPr>
          <w:p>
            <w:pPr>
              <w:pStyle w:val="TableParagraph"/>
              <w:spacing w:before="7"/>
              <w:ind w:left="108"/>
              <w:rPr>
                <w:b/>
                <w:sz w:val="24"/>
              </w:rPr>
            </w:pPr>
            <w:r>
              <w:rPr>
                <w:b/>
                <w:sz w:val="24"/>
              </w:rPr>
              <w:t>Eau de surface</w:t>
            </w:r>
          </w:p>
        </w:tc>
        <w:tc>
          <w:tcPr>
            <w:tcW w:w="2845" w:type="dxa"/>
          </w:tcPr>
          <w:p>
            <w:pPr>
              <w:pStyle w:val="TableParagraph"/>
              <w:spacing w:before="7"/>
              <w:ind w:left="105"/>
              <w:rPr>
                <w:b/>
                <w:sz w:val="24"/>
              </w:rPr>
            </w:pPr>
            <w:r>
              <w:rPr>
                <w:b/>
                <w:sz w:val="24"/>
              </w:rPr>
              <w:t>Eau souterraines</w:t>
            </w:r>
          </w:p>
        </w:tc>
      </w:tr>
      <w:tr>
        <w:trPr>
          <w:trHeight w:val="610" w:hRule="atLeast"/>
        </w:trPr>
        <w:tc>
          <w:tcPr>
            <w:tcW w:w="2849" w:type="dxa"/>
          </w:tcPr>
          <w:p>
            <w:pPr>
              <w:pStyle w:val="TableParagraph"/>
              <w:spacing w:before="7"/>
              <w:rPr>
                <w:b/>
                <w:sz w:val="24"/>
              </w:rPr>
            </w:pPr>
            <w:r>
              <w:rPr>
                <w:b/>
                <w:sz w:val="24"/>
              </w:rPr>
              <w:t>Température</w:t>
            </w:r>
          </w:p>
        </w:tc>
        <w:tc>
          <w:tcPr>
            <w:tcW w:w="3242" w:type="dxa"/>
          </w:tcPr>
          <w:p>
            <w:pPr>
              <w:pStyle w:val="TableParagraph"/>
              <w:spacing w:before="3"/>
              <w:ind w:left="108"/>
              <w:rPr>
                <w:sz w:val="24"/>
              </w:rPr>
            </w:pPr>
            <w:r>
              <w:rPr>
                <w:sz w:val="24"/>
              </w:rPr>
              <w:t>Varie en fonction des saisons</w:t>
            </w:r>
          </w:p>
        </w:tc>
        <w:tc>
          <w:tcPr>
            <w:tcW w:w="2845" w:type="dxa"/>
          </w:tcPr>
          <w:p>
            <w:pPr>
              <w:pStyle w:val="TableParagraph"/>
              <w:spacing w:before="3"/>
              <w:ind w:left="105"/>
              <w:rPr>
                <w:sz w:val="24"/>
              </w:rPr>
            </w:pPr>
            <w:r>
              <w:rPr>
                <w:sz w:val="24"/>
              </w:rPr>
              <w:t>Relativement constante</w:t>
            </w:r>
          </w:p>
        </w:tc>
      </w:tr>
      <w:tr>
        <w:trPr>
          <w:trHeight w:val="610" w:hRule="atLeast"/>
        </w:trPr>
        <w:tc>
          <w:tcPr>
            <w:tcW w:w="2849" w:type="dxa"/>
          </w:tcPr>
          <w:p>
            <w:pPr>
              <w:pStyle w:val="TableParagraph"/>
              <w:spacing w:before="6"/>
              <w:rPr>
                <w:b/>
                <w:sz w:val="24"/>
              </w:rPr>
            </w:pPr>
            <w:r>
              <w:rPr>
                <w:b/>
                <w:sz w:val="24"/>
              </w:rPr>
              <w:t>Turbidité</w:t>
            </w:r>
          </w:p>
        </w:tc>
        <w:tc>
          <w:tcPr>
            <w:tcW w:w="3242" w:type="dxa"/>
          </w:tcPr>
          <w:p>
            <w:pPr>
              <w:pStyle w:val="TableParagraph"/>
              <w:spacing w:before="2"/>
              <w:ind w:left="108"/>
              <w:rPr>
                <w:sz w:val="24"/>
              </w:rPr>
            </w:pPr>
            <w:r>
              <w:rPr>
                <w:sz w:val="24"/>
              </w:rPr>
              <w:t>Niveau variable parfois élevé</w:t>
            </w:r>
          </w:p>
        </w:tc>
        <w:tc>
          <w:tcPr>
            <w:tcW w:w="2845" w:type="dxa"/>
          </w:tcPr>
          <w:p>
            <w:pPr>
              <w:pStyle w:val="TableParagraph"/>
              <w:spacing w:before="2"/>
              <w:ind w:left="105"/>
              <w:rPr>
                <w:sz w:val="24"/>
              </w:rPr>
            </w:pPr>
            <w:r>
              <w:rPr>
                <w:sz w:val="24"/>
              </w:rPr>
              <w:t>Faible ou nulle</w:t>
            </w:r>
          </w:p>
        </w:tc>
      </w:tr>
      <w:tr>
        <w:trPr>
          <w:trHeight w:val="1653" w:hRule="atLeast"/>
        </w:trPr>
        <w:tc>
          <w:tcPr>
            <w:tcW w:w="2849" w:type="dxa"/>
          </w:tcPr>
          <w:p>
            <w:pPr>
              <w:pStyle w:val="TableParagraph"/>
              <w:spacing w:before="6"/>
              <w:rPr>
                <w:b/>
                <w:sz w:val="24"/>
              </w:rPr>
            </w:pPr>
            <w:r>
              <w:rPr>
                <w:b/>
                <w:sz w:val="24"/>
              </w:rPr>
              <w:t>Couleur</w:t>
            </w:r>
          </w:p>
        </w:tc>
        <w:tc>
          <w:tcPr>
            <w:tcW w:w="3242" w:type="dxa"/>
          </w:tcPr>
          <w:p>
            <w:pPr>
              <w:pStyle w:val="TableParagraph"/>
              <w:spacing w:line="360" w:lineRule="auto" w:before="2"/>
              <w:ind w:left="108" w:right="139"/>
              <w:rPr>
                <w:sz w:val="24"/>
              </w:rPr>
            </w:pPr>
            <w:r>
              <w:rPr>
                <w:sz w:val="24"/>
              </w:rPr>
              <w:t>Principalement dû  aux  sols en suspension (argile, algue,..) excepté pour les eaux acides</w:t>
            </w:r>
            <w:r>
              <w:rPr>
                <w:spacing w:val="-9"/>
                <w:sz w:val="24"/>
              </w:rPr>
              <w:t> </w:t>
            </w:r>
            <w:r>
              <w:rPr>
                <w:sz w:val="24"/>
              </w:rPr>
              <w:t>et</w:t>
            </w:r>
          </w:p>
          <w:p>
            <w:pPr>
              <w:pStyle w:val="TableParagraph"/>
              <w:spacing w:line="273" w:lineRule="exact"/>
              <w:ind w:left="108"/>
              <w:rPr>
                <w:sz w:val="24"/>
              </w:rPr>
            </w:pPr>
            <w:r>
              <w:rPr>
                <w:sz w:val="24"/>
              </w:rPr>
              <w:t>très douces.</w:t>
            </w:r>
          </w:p>
        </w:tc>
        <w:tc>
          <w:tcPr>
            <w:tcW w:w="2845" w:type="dxa"/>
          </w:tcPr>
          <w:p>
            <w:pPr>
              <w:pStyle w:val="TableParagraph"/>
              <w:spacing w:line="357" w:lineRule="auto" w:before="2"/>
              <w:ind w:left="105"/>
              <w:rPr>
                <w:sz w:val="24"/>
              </w:rPr>
            </w:pPr>
            <w:r>
              <w:rPr>
                <w:sz w:val="24"/>
              </w:rPr>
              <w:t>Principalement dû aux solides dissous</w:t>
            </w:r>
          </w:p>
        </w:tc>
      </w:tr>
      <w:tr>
        <w:trPr>
          <w:trHeight w:val="1658" w:hRule="atLeast"/>
        </w:trPr>
        <w:tc>
          <w:tcPr>
            <w:tcW w:w="2849" w:type="dxa"/>
          </w:tcPr>
          <w:p>
            <w:pPr>
              <w:pStyle w:val="TableParagraph"/>
              <w:spacing w:before="5"/>
              <w:rPr>
                <w:b/>
                <w:sz w:val="24"/>
              </w:rPr>
            </w:pPr>
            <w:r>
              <w:rPr>
                <w:b/>
                <w:sz w:val="24"/>
              </w:rPr>
              <w:t>Contenu minéral</w:t>
            </w:r>
          </w:p>
        </w:tc>
        <w:tc>
          <w:tcPr>
            <w:tcW w:w="3242" w:type="dxa"/>
          </w:tcPr>
          <w:p>
            <w:pPr>
              <w:pStyle w:val="TableParagraph"/>
              <w:spacing w:line="357" w:lineRule="auto" w:before="1"/>
              <w:ind w:left="108" w:right="698"/>
              <w:rPr>
                <w:sz w:val="24"/>
              </w:rPr>
            </w:pPr>
            <w:r>
              <w:rPr>
                <w:sz w:val="24"/>
              </w:rPr>
              <w:t>Varie avec le sol, les effluents, les pluies,...</w:t>
            </w:r>
          </w:p>
        </w:tc>
        <w:tc>
          <w:tcPr>
            <w:tcW w:w="2845" w:type="dxa"/>
          </w:tcPr>
          <w:p>
            <w:pPr>
              <w:pStyle w:val="TableParagraph"/>
              <w:spacing w:line="360" w:lineRule="auto" w:before="1"/>
              <w:ind w:left="105" w:right="230"/>
              <w:rPr>
                <w:sz w:val="24"/>
              </w:rPr>
            </w:pPr>
            <w:r>
              <w:rPr>
                <w:sz w:val="24"/>
              </w:rPr>
              <w:t>Généralement plus important que pour l'eau de surface pour un </w:t>
            </w:r>
            <w:r>
              <w:rPr>
                <w:spacing w:val="-6"/>
                <w:sz w:val="24"/>
              </w:rPr>
              <w:t>même</w:t>
            </w:r>
          </w:p>
          <w:p>
            <w:pPr>
              <w:pStyle w:val="TableParagraph"/>
              <w:spacing w:line="273" w:lineRule="exact"/>
              <w:ind w:left="105"/>
              <w:rPr>
                <w:sz w:val="24"/>
              </w:rPr>
            </w:pPr>
            <w:r>
              <w:rPr>
                <w:sz w:val="24"/>
              </w:rPr>
              <w:t>endroit.</w:t>
            </w:r>
          </w:p>
        </w:tc>
      </w:tr>
    </w:tbl>
    <w:p>
      <w:pPr>
        <w:spacing w:after="0" w:line="273" w:lineRule="exact"/>
        <w:rPr>
          <w:sz w:val="24"/>
        </w:rPr>
        <w:sectPr>
          <w:pgSz w:w="11900" w:h="16840"/>
          <w:pgMar w:header="727" w:footer="1061" w:top="1180" w:bottom="1260" w:left="740" w:right="0"/>
        </w:sectPr>
      </w:pPr>
    </w:p>
    <w:p>
      <w:pPr>
        <w:pStyle w:val="BodyText"/>
        <w:spacing w:before="3"/>
        <w:rPr>
          <w:sz w:val="23"/>
        </w:rPr>
      </w:pPr>
    </w:p>
    <w:tbl>
      <w:tblPr>
        <w:tblW w:w="0" w:type="auto"/>
        <w:jc w:val="left"/>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49"/>
        <w:gridCol w:w="3242"/>
        <w:gridCol w:w="2845"/>
      </w:tblGrid>
      <w:tr>
        <w:trPr>
          <w:trHeight w:val="1241" w:hRule="atLeast"/>
        </w:trPr>
        <w:tc>
          <w:tcPr>
            <w:tcW w:w="2849" w:type="dxa"/>
          </w:tcPr>
          <w:p>
            <w:pPr>
              <w:pStyle w:val="TableParagraph"/>
              <w:spacing w:before="13"/>
              <w:rPr>
                <w:b/>
                <w:sz w:val="24"/>
              </w:rPr>
            </w:pPr>
            <w:r>
              <w:rPr>
                <w:b/>
                <w:sz w:val="24"/>
              </w:rPr>
              <w:t>Fer et Mn en solution</w:t>
            </w:r>
          </w:p>
        </w:tc>
        <w:tc>
          <w:tcPr>
            <w:tcW w:w="3242" w:type="dxa"/>
          </w:tcPr>
          <w:p>
            <w:pPr>
              <w:pStyle w:val="TableParagraph"/>
              <w:spacing w:line="357" w:lineRule="auto" w:before="9"/>
              <w:ind w:left="108" w:right="131"/>
              <w:rPr>
                <w:sz w:val="24"/>
              </w:rPr>
            </w:pPr>
            <w:r>
              <w:rPr>
                <w:sz w:val="24"/>
              </w:rPr>
              <w:t>Généralement pas sauf pour au fond des lacs et dans</w:t>
            </w:r>
            <w:r>
              <w:rPr>
                <w:spacing w:val="52"/>
                <w:sz w:val="24"/>
              </w:rPr>
              <w:t> </w:t>
            </w:r>
            <w:r>
              <w:rPr>
                <w:sz w:val="24"/>
              </w:rPr>
              <w:t>le</w:t>
            </w:r>
          </w:p>
          <w:p>
            <w:pPr>
              <w:pStyle w:val="TableParagraph"/>
              <w:spacing w:before="5"/>
              <w:ind w:left="108"/>
              <w:rPr>
                <w:sz w:val="24"/>
              </w:rPr>
            </w:pPr>
            <w:r>
              <w:rPr>
                <w:sz w:val="24"/>
              </w:rPr>
              <w:t>processus d'eutrophisation</w:t>
            </w:r>
          </w:p>
        </w:tc>
        <w:tc>
          <w:tcPr>
            <w:tcW w:w="2845" w:type="dxa"/>
          </w:tcPr>
          <w:p>
            <w:pPr>
              <w:pStyle w:val="TableParagraph"/>
              <w:spacing w:before="9"/>
              <w:ind w:left="105"/>
              <w:rPr>
                <w:sz w:val="24"/>
              </w:rPr>
            </w:pPr>
            <w:r>
              <w:rPr>
                <w:sz w:val="24"/>
              </w:rPr>
              <w:t>Présent</w:t>
            </w:r>
          </w:p>
        </w:tc>
      </w:tr>
      <w:tr>
        <w:trPr>
          <w:trHeight w:val="830" w:hRule="atLeast"/>
        </w:trPr>
        <w:tc>
          <w:tcPr>
            <w:tcW w:w="2849" w:type="dxa"/>
          </w:tcPr>
          <w:p>
            <w:pPr>
              <w:pStyle w:val="TableParagraph"/>
              <w:spacing w:before="12"/>
              <w:rPr>
                <w:b/>
                <w:sz w:val="24"/>
              </w:rPr>
            </w:pPr>
            <w:r>
              <w:rPr>
                <w:b/>
                <w:sz w:val="24"/>
              </w:rPr>
              <w:t>CO</w:t>
            </w:r>
            <w:r>
              <w:rPr>
                <w:b/>
                <w:sz w:val="24"/>
                <w:vertAlign w:val="subscript"/>
              </w:rPr>
              <w:t>2</w:t>
            </w:r>
            <w:r>
              <w:rPr>
                <w:b/>
                <w:sz w:val="24"/>
                <w:vertAlign w:val="baseline"/>
              </w:rPr>
              <w:t> agressif</w:t>
            </w:r>
          </w:p>
        </w:tc>
        <w:tc>
          <w:tcPr>
            <w:tcW w:w="3242" w:type="dxa"/>
          </w:tcPr>
          <w:p>
            <w:pPr>
              <w:pStyle w:val="TableParagraph"/>
              <w:spacing w:before="8"/>
              <w:ind w:left="108"/>
              <w:rPr>
                <w:sz w:val="24"/>
              </w:rPr>
            </w:pPr>
            <w:r>
              <w:rPr>
                <w:sz w:val="24"/>
              </w:rPr>
              <w:t>Pas présent</w:t>
            </w:r>
          </w:p>
        </w:tc>
        <w:tc>
          <w:tcPr>
            <w:tcW w:w="2845" w:type="dxa"/>
          </w:tcPr>
          <w:p>
            <w:pPr>
              <w:pStyle w:val="TableParagraph"/>
              <w:spacing w:before="8"/>
              <w:ind w:left="105"/>
              <w:rPr>
                <w:sz w:val="24"/>
              </w:rPr>
            </w:pPr>
            <w:r>
              <w:rPr>
                <w:sz w:val="24"/>
              </w:rPr>
              <w:t>Souvent présent</w:t>
            </w:r>
            <w:r>
              <w:rPr>
                <w:spacing w:val="58"/>
                <w:sz w:val="24"/>
              </w:rPr>
              <w:t> </w:t>
            </w:r>
            <w:r>
              <w:rPr>
                <w:sz w:val="24"/>
              </w:rPr>
              <w:t>en</w:t>
            </w:r>
          </w:p>
          <w:p>
            <w:pPr>
              <w:pStyle w:val="TableParagraph"/>
              <w:spacing w:before="136"/>
              <w:ind w:left="105"/>
              <w:rPr>
                <w:sz w:val="24"/>
              </w:rPr>
            </w:pPr>
            <w:r>
              <w:rPr>
                <w:sz w:val="24"/>
              </w:rPr>
              <w:t>grande quantité</w:t>
            </w:r>
          </w:p>
        </w:tc>
      </w:tr>
      <w:tr>
        <w:trPr>
          <w:trHeight w:val="1654" w:hRule="atLeast"/>
        </w:trPr>
        <w:tc>
          <w:tcPr>
            <w:tcW w:w="2849" w:type="dxa"/>
          </w:tcPr>
          <w:p>
            <w:pPr>
              <w:pStyle w:val="TableParagraph"/>
              <w:spacing w:before="7"/>
              <w:rPr>
                <w:b/>
                <w:sz w:val="24"/>
              </w:rPr>
            </w:pPr>
            <w:r>
              <w:rPr>
                <w:b/>
                <w:sz w:val="24"/>
              </w:rPr>
              <w:t>O</w:t>
            </w:r>
            <w:r>
              <w:rPr>
                <w:b/>
                <w:sz w:val="24"/>
                <w:vertAlign w:val="subscript"/>
              </w:rPr>
              <w:t>2</w:t>
            </w:r>
            <w:r>
              <w:rPr>
                <w:b/>
                <w:sz w:val="24"/>
                <w:vertAlign w:val="baseline"/>
              </w:rPr>
              <w:t> dissout</w:t>
            </w:r>
          </w:p>
        </w:tc>
        <w:tc>
          <w:tcPr>
            <w:tcW w:w="3242" w:type="dxa"/>
          </w:tcPr>
          <w:p>
            <w:pPr>
              <w:pStyle w:val="TableParagraph"/>
              <w:spacing w:line="362" w:lineRule="auto" w:before="3"/>
              <w:ind w:left="108"/>
              <w:rPr>
                <w:sz w:val="24"/>
              </w:rPr>
            </w:pPr>
            <w:r>
              <w:rPr>
                <w:sz w:val="24"/>
              </w:rPr>
              <w:t>Souvent proche du niveau de saturation.</w:t>
            </w:r>
          </w:p>
          <w:p>
            <w:pPr>
              <w:pStyle w:val="TableParagraph"/>
              <w:spacing w:line="270" w:lineRule="exact"/>
              <w:ind w:left="108"/>
              <w:rPr>
                <w:sz w:val="24"/>
              </w:rPr>
            </w:pPr>
            <w:r>
              <w:rPr>
                <w:sz w:val="24"/>
              </w:rPr>
              <w:t>Absent dans les eaux très</w:t>
            </w:r>
          </w:p>
          <w:p>
            <w:pPr>
              <w:pStyle w:val="TableParagraph"/>
              <w:spacing w:before="140"/>
              <w:ind w:left="108"/>
              <w:rPr>
                <w:sz w:val="24"/>
              </w:rPr>
            </w:pPr>
            <w:r>
              <w:rPr>
                <w:sz w:val="24"/>
              </w:rPr>
              <w:t>polluées.</w:t>
            </w:r>
          </w:p>
        </w:tc>
        <w:tc>
          <w:tcPr>
            <w:tcW w:w="2845" w:type="dxa"/>
          </w:tcPr>
          <w:p>
            <w:pPr>
              <w:pStyle w:val="TableParagraph"/>
              <w:spacing w:before="3"/>
              <w:ind w:left="105"/>
              <w:rPr>
                <w:sz w:val="24"/>
              </w:rPr>
            </w:pPr>
            <w:r>
              <w:rPr>
                <w:sz w:val="24"/>
              </w:rPr>
              <w:t>Généralement peu présent</w:t>
            </w:r>
          </w:p>
        </w:tc>
      </w:tr>
      <w:tr>
        <w:trPr>
          <w:trHeight w:val="610" w:hRule="atLeast"/>
        </w:trPr>
        <w:tc>
          <w:tcPr>
            <w:tcW w:w="2849" w:type="dxa"/>
          </w:tcPr>
          <w:p>
            <w:pPr>
              <w:pStyle w:val="TableParagraph"/>
              <w:spacing w:before="10"/>
              <w:rPr>
                <w:b/>
                <w:sz w:val="24"/>
              </w:rPr>
            </w:pPr>
            <w:r>
              <w:rPr>
                <w:b/>
                <w:sz w:val="24"/>
              </w:rPr>
              <w:t>H</w:t>
            </w:r>
            <w:r>
              <w:rPr>
                <w:b/>
                <w:sz w:val="24"/>
                <w:vertAlign w:val="subscript"/>
              </w:rPr>
              <w:t>2</w:t>
            </w:r>
            <w:r>
              <w:rPr>
                <w:b/>
                <w:sz w:val="24"/>
                <w:vertAlign w:val="baseline"/>
              </w:rPr>
              <w:t>S</w:t>
            </w:r>
          </w:p>
        </w:tc>
        <w:tc>
          <w:tcPr>
            <w:tcW w:w="3242" w:type="dxa"/>
          </w:tcPr>
          <w:p>
            <w:pPr>
              <w:pStyle w:val="TableParagraph"/>
              <w:spacing w:before="6"/>
              <w:ind w:left="108"/>
              <w:rPr>
                <w:sz w:val="24"/>
              </w:rPr>
            </w:pPr>
            <w:r>
              <w:rPr>
                <w:sz w:val="24"/>
              </w:rPr>
              <w:t>Pas présent</w:t>
            </w:r>
          </w:p>
        </w:tc>
        <w:tc>
          <w:tcPr>
            <w:tcW w:w="2845" w:type="dxa"/>
          </w:tcPr>
          <w:p>
            <w:pPr>
              <w:pStyle w:val="TableParagraph"/>
              <w:spacing w:before="6"/>
              <w:ind w:left="105"/>
              <w:rPr>
                <w:sz w:val="24"/>
              </w:rPr>
            </w:pPr>
            <w:r>
              <w:rPr>
                <w:sz w:val="24"/>
              </w:rPr>
              <w:t>Souvent présent</w:t>
            </w:r>
          </w:p>
        </w:tc>
      </w:tr>
      <w:tr>
        <w:trPr>
          <w:trHeight w:val="1242" w:hRule="atLeast"/>
        </w:trPr>
        <w:tc>
          <w:tcPr>
            <w:tcW w:w="2849" w:type="dxa"/>
          </w:tcPr>
          <w:p>
            <w:pPr>
              <w:pStyle w:val="TableParagraph"/>
              <w:spacing w:before="10"/>
              <w:rPr>
                <w:b/>
                <w:sz w:val="24"/>
              </w:rPr>
            </w:pPr>
            <w:r>
              <w:rPr>
                <w:b/>
                <w:sz w:val="24"/>
              </w:rPr>
              <w:t>NH</w:t>
            </w:r>
            <w:r>
              <w:rPr>
                <w:b/>
                <w:sz w:val="24"/>
                <w:vertAlign w:val="subscript"/>
              </w:rPr>
              <w:t>4</w:t>
            </w:r>
            <w:r>
              <w:rPr>
                <w:b/>
                <w:sz w:val="24"/>
                <w:vertAlign w:val="baseline"/>
              </w:rPr>
              <w:t>+</w:t>
            </w:r>
          </w:p>
        </w:tc>
        <w:tc>
          <w:tcPr>
            <w:tcW w:w="3242" w:type="dxa"/>
          </w:tcPr>
          <w:p>
            <w:pPr>
              <w:pStyle w:val="TableParagraph"/>
              <w:spacing w:line="357" w:lineRule="auto" w:before="6"/>
              <w:ind w:left="108" w:right="698"/>
              <w:rPr>
                <w:sz w:val="24"/>
              </w:rPr>
            </w:pPr>
            <w:r>
              <w:rPr>
                <w:sz w:val="24"/>
              </w:rPr>
              <w:t>Seulement dans des eaux polluées.</w:t>
            </w:r>
          </w:p>
        </w:tc>
        <w:tc>
          <w:tcPr>
            <w:tcW w:w="2845" w:type="dxa"/>
          </w:tcPr>
          <w:p>
            <w:pPr>
              <w:pStyle w:val="TableParagraph"/>
              <w:spacing w:line="357" w:lineRule="auto" w:before="6"/>
              <w:ind w:left="105" w:right="403"/>
              <w:rPr>
                <w:sz w:val="24"/>
              </w:rPr>
            </w:pPr>
            <w:r>
              <w:rPr>
                <w:sz w:val="24"/>
              </w:rPr>
              <w:t>Souvent présent sans forcément une pollution</w:t>
            </w:r>
          </w:p>
          <w:p>
            <w:pPr>
              <w:pStyle w:val="TableParagraph"/>
              <w:spacing w:before="5"/>
              <w:ind w:left="105"/>
              <w:rPr>
                <w:sz w:val="24"/>
              </w:rPr>
            </w:pPr>
            <w:r>
              <w:rPr>
                <w:sz w:val="24"/>
              </w:rPr>
              <w:t>bactériologique.</w:t>
            </w:r>
          </w:p>
        </w:tc>
      </w:tr>
      <w:tr>
        <w:trPr>
          <w:trHeight w:val="610" w:hRule="atLeast"/>
        </w:trPr>
        <w:tc>
          <w:tcPr>
            <w:tcW w:w="2849" w:type="dxa"/>
          </w:tcPr>
          <w:p>
            <w:pPr>
              <w:pStyle w:val="TableParagraph"/>
              <w:spacing w:before="9"/>
              <w:rPr>
                <w:b/>
                <w:sz w:val="24"/>
              </w:rPr>
            </w:pPr>
            <w:r>
              <w:rPr>
                <w:b/>
                <w:sz w:val="24"/>
              </w:rPr>
              <w:t>Nitrates</w:t>
            </w:r>
          </w:p>
        </w:tc>
        <w:tc>
          <w:tcPr>
            <w:tcW w:w="3242" w:type="dxa"/>
          </w:tcPr>
          <w:p>
            <w:pPr>
              <w:pStyle w:val="TableParagraph"/>
              <w:spacing w:before="5"/>
              <w:ind w:left="108"/>
              <w:rPr>
                <w:sz w:val="24"/>
              </w:rPr>
            </w:pPr>
            <w:r>
              <w:rPr>
                <w:sz w:val="24"/>
              </w:rPr>
              <w:t>Niveau généralement faible</w:t>
            </w:r>
          </w:p>
        </w:tc>
        <w:tc>
          <w:tcPr>
            <w:tcW w:w="2845" w:type="dxa"/>
          </w:tcPr>
          <w:p>
            <w:pPr>
              <w:pStyle w:val="TableParagraph"/>
              <w:spacing w:before="5"/>
              <w:ind w:left="105"/>
              <w:rPr>
                <w:sz w:val="24"/>
              </w:rPr>
            </w:pPr>
            <w:r>
              <w:rPr>
                <w:sz w:val="24"/>
              </w:rPr>
              <w:t>Niveau parfois important</w:t>
            </w:r>
          </w:p>
        </w:tc>
      </w:tr>
      <w:tr>
        <w:trPr>
          <w:trHeight w:val="830" w:hRule="atLeast"/>
        </w:trPr>
        <w:tc>
          <w:tcPr>
            <w:tcW w:w="2849" w:type="dxa"/>
          </w:tcPr>
          <w:p>
            <w:pPr>
              <w:pStyle w:val="TableParagraph"/>
              <w:spacing w:before="9"/>
              <w:rPr>
                <w:b/>
                <w:sz w:val="24"/>
              </w:rPr>
            </w:pPr>
            <w:r>
              <w:rPr>
                <w:b/>
                <w:sz w:val="24"/>
              </w:rPr>
              <w:t>Silice</w:t>
            </w:r>
          </w:p>
        </w:tc>
        <w:tc>
          <w:tcPr>
            <w:tcW w:w="3242" w:type="dxa"/>
          </w:tcPr>
          <w:p>
            <w:pPr>
              <w:pStyle w:val="TableParagraph"/>
              <w:spacing w:before="5"/>
              <w:ind w:left="108"/>
              <w:rPr>
                <w:sz w:val="24"/>
              </w:rPr>
            </w:pPr>
            <w:r>
              <w:rPr>
                <w:sz w:val="24"/>
              </w:rPr>
              <w:t>Généralement en proportion</w:t>
            </w:r>
          </w:p>
          <w:p>
            <w:pPr>
              <w:pStyle w:val="TableParagraph"/>
              <w:spacing w:before="135"/>
              <w:ind w:left="108"/>
              <w:rPr>
                <w:sz w:val="24"/>
              </w:rPr>
            </w:pPr>
            <w:r>
              <w:rPr>
                <w:sz w:val="24"/>
              </w:rPr>
              <w:t>modérée</w:t>
            </w:r>
          </w:p>
        </w:tc>
        <w:tc>
          <w:tcPr>
            <w:tcW w:w="2845" w:type="dxa"/>
          </w:tcPr>
          <w:p>
            <w:pPr>
              <w:pStyle w:val="TableParagraph"/>
              <w:spacing w:before="5"/>
              <w:ind w:left="105"/>
              <w:rPr>
                <w:sz w:val="24"/>
              </w:rPr>
            </w:pPr>
            <w:r>
              <w:rPr>
                <w:sz w:val="24"/>
              </w:rPr>
              <w:t>Niveau souvent important</w:t>
            </w:r>
          </w:p>
        </w:tc>
      </w:tr>
      <w:tr>
        <w:trPr>
          <w:trHeight w:val="2070" w:hRule="atLeast"/>
        </w:trPr>
        <w:tc>
          <w:tcPr>
            <w:tcW w:w="2849" w:type="dxa"/>
          </w:tcPr>
          <w:p>
            <w:pPr>
              <w:pStyle w:val="TableParagraph"/>
              <w:spacing w:line="362" w:lineRule="auto" w:before="4"/>
              <w:rPr>
                <w:b/>
                <w:sz w:val="24"/>
              </w:rPr>
            </w:pPr>
            <w:r>
              <w:rPr>
                <w:b/>
                <w:sz w:val="24"/>
              </w:rPr>
              <w:t>Micropolluants d'origine organique et minérale</w:t>
            </w:r>
          </w:p>
        </w:tc>
        <w:tc>
          <w:tcPr>
            <w:tcW w:w="3242" w:type="dxa"/>
          </w:tcPr>
          <w:p>
            <w:pPr>
              <w:pStyle w:val="TableParagraph"/>
              <w:spacing w:line="360" w:lineRule="auto"/>
              <w:ind w:left="108" w:right="278"/>
              <w:rPr>
                <w:sz w:val="24"/>
              </w:rPr>
            </w:pPr>
            <w:r>
              <w:rPr>
                <w:sz w:val="24"/>
              </w:rPr>
              <w:t>Présent dans l'eau des pays développés mais est susceptible de disparaître rapidement une fois la source</w:t>
            </w:r>
          </w:p>
          <w:p>
            <w:pPr>
              <w:pStyle w:val="TableParagraph"/>
              <w:spacing w:line="275" w:lineRule="exact"/>
              <w:ind w:left="108"/>
              <w:rPr>
                <w:sz w:val="24"/>
              </w:rPr>
            </w:pPr>
            <w:r>
              <w:rPr>
                <w:sz w:val="24"/>
              </w:rPr>
              <w:t>éliminée</w:t>
            </w:r>
          </w:p>
        </w:tc>
        <w:tc>
          <w:tcPr>
            <w:tcW w:w="2845" w:type="dxa"/>
          </w:tcPr>
          <w:p>
            <w:pPr>
              <w:pStyle w:val="TableParagraph"/>
              <w:spacing w:line="360" w:lineRule="auto"/>
              <w:ind w:left="105" w:right="230"/>
              <w:rPr>
                <w:sz w:val="24"/>
              </w:rPr>
            </w:pPr>
            <w:r>
              <w:rPr>
                <w:sz w:val="24"/>
              </w:rPr>
              <w:t>Normalement pas mais une pollution accidentelle à des effets à très long terme</w:t>
            </w:r>
          </w:p>
        </w:tc>
      </w:tr>
      <w:tr>
        <w:trPr>
          <w:trHeight w:val="826" w:hRule="atLeast"/>
        </w:trPr>
        <w:tc>
          <w:tcPr>
            <w:tcW w:w="2849" w:type="dxa"/>
          </w:tcPr>
          <w:p>
            <w:pPr>
              <w:pStyle w:val="TableParagraph"/>
              <w:spacing w:before="3"/>
              <w:rPr>
                <w:b/>
                <w:sz w:val="24"/>
              </w:rPr>
            </w:pPr>
            <w:r>
              <w:rPr>
                <w:b/>
                <w:sz w:val="24"/>
              </w:rPr>
              <w:t>Organismes vivants</w:t>
            </w:r>
          </w:p>
        </w:tc>
        <w:tc>
          <w:tcPr>
            <w:tcW w:w="3242" w:type="dxa"/>
          </w:tcPr>
          <w:p>
            <w:pPr>
              <w:pStyle w:val="TableParagraph"/>
              <w:spacing w:line="275" w:lineRule="exact"/>
              <w:ind w:left="108"/>
              <w:rPr>
                <w:sz w:val="24"/>
              </w:rPr>
            </w:pPr>
            <w:r>
              <w:rPr>
                <w:sz w:val="24"/>
              </w:rPr>
              <w:t>Bactéries, virus, plancton</w:t>
            </w:r>
          </w:p>
          <w:p>
            <w:pPr>
              <w:pStyle w:val="TableParagraph"/>
              <w:spacing w:before="139"/>
              <w:ind w:left="108"/>
              <w:rPr>
                <w:sz w:val="24"/>
              </w:rPr>
            </w:pPr>
            <w:r>
              <w:rPr>
                <w:sz w:val="24"/>
              </w:rPr>
              <w:t>(animal et végétal)</w:t>
            </w:r>
          </w:p>
        </w:tc>
        <w:tc>
          <w:tcPr>
            <w:tcW w:w="2845" w:type="dxa"/>
          </w:tcPr>
          <w:p>
            <w:pPr>
              <w:pStyle w:val="TableParagraph"/>
              <w:spacing w:line="275" w:lineRule="exact"/>
              <w:ind w:left="105"/>
              <w:rPr>
                <w:sz w:val="24"/>
              </w:rPr>
            </w:pPr>
            <w:r>
              <w:rPr>
                <w:sz w:val="24"/>
              </w:rPr>
              <w:t>Des bactéries du fer sont</w:t>
            </w:r>
          </w:p>
          <w:p>
            <w:pPr>
              <w:pStyle w:val="TableParagraph"/>
              <w:spacing w:before="139"/>
              <w:ind w:left="105"/>
              <w:rPr>
                <w:sz w:val="24"/>
              </w:rPr>
            </w:pPr>
            <w:r>
              <w:rPr>
                <w:sz w:val="24"/>
              </w:rPr>
              <w:t>fréquemment trouvées</w:t>
            </w:r>
          </w:p>
        </w:tc>
      </w:tr>
      <w:tr>
        <w:trPr>
          <w:trHeight w:val="613" w:hRule="atLeast"/>
        </w:trPr>
        <w:tc>
          <w:tcPr>
            <w:tcW w:w="2849" w:type="dxa"/>
          </w:tcPr>
          <w:p>
            <w:pPr>
              <w:pStyle w:val="TableParagraph"/>
              <w:spacing w:before="6"/>
              <w:rPr>
                <w:b/>
                <w:sz w:val="24"/>
              </w:rPr>
            </w:pPr>
            <w:r>
              <w:rPr>
                <w:b/>
                <w:sz w:val="24"/>
              </w:rPr>
              <w:t>Solvants chlorés</w:t>
            </w:r>
          </w:p>
        </w:tc>
        <w:tc>
          <w:tcPr>
            <w:tcW w:w="3242" w:type="dxa"/>
          </w:tcPr>
          <w:p>
            <w:pPr>
              <w:pStyle w:val="TableParagraph"/>
              <w:spacing w:before="2"/>
              <w:ind w:left="108"/>
              <w:rPr>
                <w:sz w:val="24"/>
              </w:rPr>
            </w:pPr>
            <w:r>
              <w:rPr>
                <w:sz w:val="24"/>
              </w:rPr>
              <w:t>Rarement présent</w:t>
            </w:r>
          </w:p>
        </w:tc>
        <w:tc>
          <w:tcPr>
            <w:tcW w:w="2845" w:type="dxa"/>
          </w:tcPr>
          <w:p>
            <w:pPr>
              <w:pStyle w:val="TableParagraph"/>
              <w:spacing w:before="2"/>
              <w:ind w:left="105"/>
              <w:rPr>
                <w:sz w:val="24"/>
              </w:rPr>
            </w:pPr>
            <w:r>
              <w:rPr>
                <w:sz w:val="24"/>
              </w:rPr>
              <w:t>Souvent présent</w:t>
            </w:r>
          </w:p>
        </w:tc>
      </w:tr>
    </w:tbl>
    <w:p>
      <w:pPr>
        <w:spacing w:after="0"/>
        <w:rPr>
          <w:sz w:val="24"/>
        </w:rPr>
        <w:sectPr>
          <w:pgSz w:w="11900" w:h="16840"/>
          <w:pgMar w:header="727" w:footer="1061" w:top="1180" w:bottom="1260" w:left="740" w:right="0"/>
        </w:sectPr>
      </w:pPr>
    </w:p>
    <w:p>
      <w:pPr>
        <w:pStyle w:val="BodyText"/>
        <w:spacing w:before="4"/>
        <w:rPr>
          <w:sz w:val="16"/>
        </w:rPr>
      </w:pPr>
    </w:p>
    <w:p>
      <w:pPr>
        <w:pStyle w:val="Heading3"/>
        <w:numPr>
          <w:ilvl w:val="1"/>
          <w:numId w:val="12"/>
        </w:numPr>
        <w:tabs>
          <w:tab w:pos="1135" w:val="left" w:leader="none"/>
        </w:tabs>
        <w:spacing w:line="240" w:lineRule="auto" w:before="88" w:after="0"/>
        <w:ind w:left="1134" w:right="0" w:hanging="459"/>
        <w:jc w:val="left"/>
      </w:pPr>
      <w:bookmarkStart w:name="_TOC_250074" w:id="7"/>
      <w:r>
        <w:rPr/>
        <w:t>La qualité des eaux</w:t>
      </w:r>
      <w:r>
        <w:rPr>
          <w:spacing w:val="5"/>
        </w:rPr>
        <w:t> </w:t>
      </w:r>
      <w:bookmarkEnd w:id="7"/>
      <w:r>
        <w:rPr/>
        <w:t>:</w:t>
      </w:r>
    </w:p>
    <w:p>
      <w:pPr>
        <w:pStyle w:val="BodyText"/>
        <w:spacing w:before="7"/>
        <w:rPr>
          <w:b/>
          <w:sz w:val="31"/>
        </w:rPr>
      </w:pPr>
    </w:p>
    <w:p>
      <w:pPr>
        <w:pStyle w:val="Heading4"/>
        <w:numPr>
          <w:ilvl w:val="2"/>
          <w:numId w:val="12"/>
        </w:numPr>
        <w:tabs>
          <w:tab w:pos="1248" w:val="left" w:leader="none"/>
        </w:tabs>
        <w:spacing w:line="240" w:lineRule="auto" w:before="0" w:after="0"/>
        <w:ind w:left="1247" w:right="0" w:hanging="572"/>
        <w:jc w:val="left"/>
      </w:pPr>
      <w:bookmarkStart w:name="_TOC_250073" w:id="8"/>
      <w:r>
        <w:rPr/>
        <w:t>Qualité </w:t>
      </w:r>
      <w:r>
        <w:rPr>
          <w:spacing w:val="-3"/>
        </w:rPr>
        <w:t>de </w:t>
      </w:r>
      <w:r>
        <w:rPr/>
        <w:t>l’eau d’alimentation</w:t>
      </w:r>
      <w:r>
        <w:rPr>
          <w:spacing w:val="8"/>
        </w:rPr>
        <w:t> </w:t>
      </w:r>
      <w:bookmarkEnd w:id="8"/>
      <w:r>
        <w:rPr/>
        <w:t>:</w:t>
      </w:r>
    </w:p>
    <w:p>
      <w:pPr>
        <w:pStyle w:val="BodyText"/>
        <w:spacing w:before="2"/>
        <w:rPr>
          <w:b/>
          <w:sz w:val="29"/>
        </w:rPr>
      </w:pPr>
    </w:p>
    <w:p>
      <w:pPr>
        <w:pStyle w:val="BodyText"/>
        <w:spacing w:line="360" w:lineRule="auto"/>
        <w:ind w:left="675" w:right="1413" w:firstLine="707"/>
        <w:jc w:val="both"/>
      </w:pPr>
      <w:r>
        <w:rPr/>
        <w:t>La qualité de l’eau d’alimentation est régulièrement mise en question (Cruyper et </w:t>
      </w:r>
      <w:r>
        <w:rPr>
          <w:i/>
        </w:rPr>
        <w:t>al</w:t>
      </w:r>
      <w:r>
        <w:rPr/>
        <w:t>, 1993). Elle est considérée souvent comme un symbole de pureté, l’eau est devenue avec le temps le produit alimentaire le plus surveillé, et soumise aux normes de qualité de plus sévères. (Defransechi, 1996).</w:t>
      </w:r>
    </w:p>
    <w:p>
      <w:pPr>
        <w:pStyle w:val="BodyText"/>
        <w:spacing w:line="360" w:lineRule="auto" w:before="199"/>
        <w:ind w:left="675" w:right="1425" w:firstLine="707"/>
        <w:jc w:val="both"/>
      </w:pPr>
      <w:r>
        <w:rPr/>
        <w:t>L’eau joue un rôle important pour la vie, la santé, l’accès à l’hygiène et au confort. Elle constitue d’un autre côté, le vecteur de nombreuses maladies à transmission hydrique comme la brucellose, la tuberculose, la fièvre typhoïde, le choléra et les diarrhées. (Ouahdi, 1995).</w:t>
      </w:r>
    </w:p>
    <w:p>
      <w:pPr>
        <w:pStyle w:val="Heading4"/>
        <w:numPr>
          <w:ilvl w:val="2"/>
          <w:numId w:val="12"/>
        </w:numPr>
        <w:tabs>
          <w:tab w:pos="1248" w:val="left" w:leader="none"/>
        </w:tabs>
        <w:spacing w:line="240" w:lineRule="auto" w:before="204" w:after="0"/>
        <w:ind w:left="1247" w:right="0" w:hanging="572"/>
        <w:jc w:val="left"/>
      </w:pPr>
      <w:bookmarkStart w:name="_TOC_250072" w:id="9"/>
      <w:bookmarkEnd w:id="9"/>
      <w:r>
        <w:rPr/>
        <w:t>Qualité des eaux souterraines :</w:t>
      </w:r>
    </w:p>
    <w:p>
      <w:pPr>
        <w:pStyle w:val="BodyText"/>
        <w:spacing w:before="10"/>
        <w:rPr>
          <w:b/>
          <w:sz w:val="28"/>
        </w:rPr>
      </w:pPr>
    </w:p>
    <w:p>
      <w:pPr>
        <w:pStyle w:val="BodyText"/>
        <w:spacing w:line="360" w:lineRule="auto"/>
        <w:ind w:left="675" w:right="1412" w:firstLine="707"/>
        <w:jc w:val="both"/>
      </w:pPr>
      <w:r>
        <w:rPr/>
        <w:t>Etant donné que les eaux souterraines sont généralement pures sur le plan bactériologique, elles constituent une meilleure solution que les eaux de surface en termes de génie sanitaire. (Fiambsch, 1998).</w:t>
      </w:r>
    </w:p>
    <w:p>
      <w:pPr>
        <w:pStyle w:val="BodyText"/>
        <w:spacing w:line="360" w:lineRule="auto" w:before="201"/>
        <w:ind w:left="675" w:right="1424" w:firstLine="707"/>
        <w:jc w:val="both"/>
      </w:pPr>
      <w:r>
        <w:rPr/>
        <w:t>Dans la réalité, les eaux souterraines sont rarement stables tout au long de l’année. A cause des infiltrations durant la saison hivernaleoù elles deviennent troubles ou même être souillées par une nappe phréatique d’une rivière voisine.</w:t>
      </w:r>
    </w:p>
    <w:p>
      <w:pPr>
        <w:pStyle w:val="BodyText"/>
        <w:spacing w:line="362" w:lineRule="auto" w:before="198"/>
        <w:ind w:left="675" w:right="1432" w:firstLine="707"/>
        <w:jc w:val="both"/>
      </w:pPr>
      <w:r>
        <w:rPr/>
        <w:t>Elles peuvent être également polluées à partir du sol par les épandages de pesticides et des rejets d’eaux résiduaires d’origines animale ou humaine.</w:t>
      </w:r>
    </w:p>
    <w:p>
      <w:pPr>
        <w:pStyle w:val="BodyText"/>
        <w:spacing w:line="360" w:lineRule="auto" w:before="193"/>
        <w:ind w:left="675" w:right="1421"/>
        <w:jc w:val="both"/>
      </w:pPr>
      <w:r>
        <w:rPr>
          <w:spacing w:val="-4"/>
        </w:rPr>
        <w:t>La </w:t>
      </w:r>
      <w:r>
        <w:rPr/>
        <w:t>pollution des eaux souterraines est le risque permanent de l’élimination </w:t>
      </w:r>
      <w:r>
        <w:rPr>
          <w:spacing w:val="-3"/>
        </w:rPr>
        <w:t>de </w:t>
      </w:r>
      <w:r>
        <w:rPr/>
        <w:t>la ressource en eau dans un proche avenir (Castany, 1982). C’est une pollution très discrète mais très persistante et ses conséquences doivent être envisagées sur le très long terme. (Gaujour, 1985).</w:t>
      </w:r>
    </w:p>
    <w:p>
      <w:pPr>
        <w:pStyle w:val="Heading4"/>
        <w:numPr>
          <w:ilvl w:val="2"/>
          <w:numId w:val="12"/>
        </w:numPr>
        <w:tabs>
          <w:tab w:pos="1248" w:val="left" w:leader="none"/>
        </w:tabs>
        <w:spacing w:line="240" w:lineRule="auto" w:before="204" w:after="0"/>
        <w:ind w:left="1247" w:right="0" w:hanging="572"/>
        <w:jc w:val="left"/>
      </w:pPr>
      <w:bookmarkStart w:name="_TOC_250071" w:id="10"/>
      <w:r>
        <w:rPr/>
        <w:t>Principales origines </w:t>
      </w:r>
      <w:r>
        <w:rPr>
          <w:spacing w:val="-3"/>
        </w:rPr>
        <w:t>de </w:t>
      </w:r>
      <w:r>
        <w:rPr/>
        <w:t>la pollution des eaux souterraines</w:t>
      </w:r>
      <w:r>
        <w:rPr>
          <w:spacing w:val="4"/>
        </w:rPr>
        <w:t> </w:t>
      </w:r>
      <w:bookmarkEnd w:id="10"/>
      <w:r>
        <w:rPr/>
        <w:t>:</w:t>
      </w:r>
    </w:p>
    <w:p>
      <w:pPr>
        <w:pStyle w:val="BodyText"/>
        <w:spacing w:before="10"/>
        <w:rPr>
          <w:b/>
          <w:sz w:val="28"/>
        </w:rPr>
      </w:pPr>
    </w:p>
    <w:p>
      <w:pPr>
        <w:pStyle w:val="BodyText"/>
        <w:spacing w:line="362" w:lineRule="auto"/>
        <w:ind w:left="675" w:right="1425" w:firstLine="707"/>
        <w:jc w:val="both"/>
      </w:pPr>
      <w:r>
        <w:rPr>
          <w:spacing w:val="-4"/>
        </w:rPr>
        <w:t>La</w:t>
      </w:r>
      <w:r>
        <w:rPr>
          <w:spacing w:val="52"/>
        </w:rPr>
        <w:t> </w:t>
      </w:r>
      <w:r>
        <w:rPr/>
        <w:t>pollution des eaux souterraines est favorisée par certains aménagements et pratiques :</w:t>
      </w:r>
    </w:p>
    <w:p>
      <w:pPr>
        <w:pStyle w:val="ListParagraph"/>
        <w:numPr>
          <w:ilvl w:val="3"/>
          <w:numId w:val="12"/>
        </w:numPr>
        <w:tabs>
          <w:tab w:pos="1394" w:val="left" w:leader="none"/>
          <w:tab w:pos="1395" w:val="left" w:leader="none"/>
        </w:tabs>
        <w:spacing w:line="240" w:lineRule="auto" w:before="193" w:after="0"/>
        <w:ind w:left="1394" w:right="0" w:hanging="359"/>
        <w:jc w:val="left"/>
        <w:rPr>
          <w:sz w:val="24"/>
        </w:rPr>
      </w:pPr>
      <w:r>
        <w:rPr>
          <w:sz w:val="24"/>
        </w:rPr>
        <w:t>Mauvaises gestions des eaux de</w:t>
      </w:r>
      <w:r>
        <w:rPr>
          <w:spacing w:val="-3"/>
          <w:sz w:val="24"/>
        </w:rPr>
        <w:t> </w:t>
      </w:r>
      <w:r>
        <w:rPr>
          <w:sz w:val="24"/>
        </w:rPr>
        <w:t>ruissellement.</w:t>
      </w:r>
    </w:p>
    <w:p>
      <w:pPr>
        <w:spacing w:after="0" w:line="240" w:lineRule="auto"/>
        <w:jc w:val="left"/>
        <w:rPr>
          <w:sz w:val="24"/>
        </w:rPr>
        <w:sectPr>
          <w:pgSz w:w="11900" w:h="16840"/>
          <w:pgMar w:header="727" w:footer="1061" w:top="1180" w:bottom="1260" w:left="740" w:right="0"/>
        </w:sectPr>
      </w:pPr>
    </w:p>
    <w:p>
      <w:pPr>
        <w:pStyle w:val="BodyText"/>
        <w:rPr>
          <w:sz w:val="15"/>
        </w:rPr>
      </w:pPr>
    </w:p>
    <w:p>
      <w:pPr>
        <w:pStyle w:val="ListParagraph"/>
        <w:numPr>
          <w:ilvl w:val="3"/>
          <w:numId w:val="12"/>
        </w:numPr>
        <w:tabs>
          <w:tab w:pos="1394" w:val="left" w:leader="none"/>
          <w:tab w:pos="1395" w:val="left" w:leader="none"/>
        </w:tabs>
        <w:spacing w:line="352" w:lineRule="auto" w:before="100" w:after="0"/>
        <w:ind w:left="1394" w:right="1427" w:hanging="359"/>
        <w:jc w:val="left"/>
        <w:rPr>
          <w:sz w:val="24"/>
        </w:rPr>
      </w:pPr>
      <w:r>
        <w:rPr>
          <w:sz w:val="24"/>
        </w:rPr>
        <w:t>Interventions qui favorisent l’infiltration dans la nappe : forage de puits sans précaution, ouverture du gravier, puits perdus (infiltration des eaux</w:t>
      </w:r>
      <w:r>
        <w:rPr>
          <w:spacing w:val="-16"/>
          <w:sz w:val="24"/>
        </w:rPr>
        <w:t> </w:t>
      </w:r>
      <w:r>
        <w:rPr>
          <w:sz w:val="24"/>
        </w:rPr>
        <w:t>usées).</w:t>
      </w:r>
    </w:p>
    <w:p>
      <w:pPr>
        <w:pStyle w:val="ListParagraph"/>
        <w:numPr>
          <w:ilvl w:val="3"/>
          <w:numId w:val="12"/>
        </w:numPr>
        <w:tabs>
          <w:tab w:pos="1394" w:val="left" w:leader="none"/>
          <w:tab w:pos="1395" w:val="left" w:leader="none"/>
        </w:tabs>
        <w:spacing w:line="352" w:lineRule="auto" w:before="9" w:after="0"/>
        <w:ind w:left="1394" w:right="1429" w:hanging="359"/>
        <w:jc w:val="left"/>
        <w:rPr>
          <w:sz w:val="24"/>
        </w:rPr>
      </w:pPr>
      <w:r>
        <w:rPr>
          <w:sz w:val="24"/>
        </w:rPr>
        <w:t>Modification des pratiques agricoles : remplacement de la prairie par des cultures intensives. (Gaujour,</w:t>
      </w:r>
      <w:r>
        <w:rPr>
          <w:spacing w:val="-3"/>
          <w:sz w:val="24"/>
        </w:rPr>
        <w:t> </w:t>
      </w:r>
      <w:r>
        <w:rPr>
          <w:sz w:val="24"/>
        </w:rPr>
        <w:t>1985).</w:t>
      </w:r>
    </w:p>
    <w:p>
      <w:pPr>
        <w:pStyle w:val="Heading3"/>
        <w:numPr>
          <w:ilvl w:val="1"/>
          <w:numId w:val="12"/>
        </w:numPr>
        <w:tabs>
          <w:tab w:pos="1135" w:val="left" w:leader="none"/>
        </w:tabs>
        <w:spacing w:line="240" w:lineRule="auto" w:before="210" w:after="0"/>
        <w:ind w:left="1134" w:right="0" w:hanging="459"/>
        <w:jc w:val="left"/>
      </w:pPr>
      <w:bookmarkStart w:name="_TOC_250070" w:id="11"/>
      <w:r>
        <w:rPr/>
        <w:t>Les risques sanitaires liés à l’eau</w:t>
      </w:r>
      <w:r>
        <w:rPr>
          <w:spacing w:val="6"/>
        </w:rPr>
        <w:t> </w:t>
      </w:r>
      <w:bookmarkEnd w:id="11"/>
      <w:r>
        <w:rPr/>
        <w:t>:</w:t>
      </w:r>
    </w:p>
    <w:p>
      <w:pPr>
        <w:pStyle w:val="BodyText"/>
        <w:spacing w:before="3"/>
        <w:rPr>
          <w:b/>
          <w:sz w:val="31"/>
        </w:rPr>
      </w:pPr>
    </w:p>
    <w:p>
      <w:pPr>
        <w:pStyle w:val="BodyText"/>
        <w:ind w:left="1382"/>
      </w:pPr>
      <w:r>
        <w:rPr/>
        <w:t>On peut distinguer deux grandes familles des maladies hydriques :</w:t>
      </w:r>
    </w:p>
    <w:p>
      <w:pPr>
        <w:pStyle w:val="BodyText"/>
        <w:spacing w:before="2"/>
        <w:rPr>
          <w:sz w:val="29"/>
        </w:rPr>
      </w:pPr>
    </w:p>
    <w:p>
      <w:pPr>
        <w:pStyle w:val="ListParagraph"/>
        <w:numPr>
          <w:ilvl w:val="0"/>
          <w:numId w:val="13"/>
        </w:numPr>
        <w:tabs>
          <w:tab w:pos="1571" w:val="left" w:leader="none"/>
        </w:tabs>
        <w:spacing w:line="362" w:lineRule="auto" w:before="0" w:after="0"/>
        <w:ind w:left="675" w:right="1431" w:firstLine="707"/>
        <w:jc w:val="both"/>
        <w:rPr>
          <w:sz w:val="24"/>
        </w:rPr>
      </w:pPr>
      <w:r>
        <w:rPr>
          <w:sz w:val="24"/>
        </w:rPr>
        <w:t>les maladies liées à la présence d’organismes pathogène microbiologiques d’origine bactérienne, virale ou</w:t>
      </w:r>
      <w:r>
        <w:rPr>
          <w:spacing w:val="-2"/>
          <w:sz w:val="24"/>
        </w:rPr>
        <w:t> </w:t>
      </w:r>
      <w:r>
        <w:rPr>
          <w:sz w:val="24"/>
        </w:rPr>
        <w:t>parasitaire.</w:t>
      </w:r>
    </w:p>
    <w:p>
      <w:pPr>
        <w:pStyle w:val="ListParagraph"/>
        <w:numPr>
          <w:ilvl w:val="0"/>
          <w:numId w:val="13"/>
        </w:numPr>
        <w:tabs>
          <w:tab w:pos="1631" w:val="left" w:leader="none"/>
        </w:tabs>
        <w:spacing w:line="362" w:lineRule="auto" w:before="194" w:after="0"/>
        <w:ind w:left="675" w:right="1415" w:firstLine="707"/>
        <w:jc w:val="both"/>
        <w:rPr>
          <w:sz w:val="24"/>
        </w:rPr>
      </w:pPr>
      <w:r>
        <w:rPr>
          <w:sz w:val="24"/>
        </w:rPr>
        <w:t>les maladies liées à l’accumulation des éléments physico-chimique, comme la fluorose. (Sanniet </w:t>
      </w:r>
      <w:r>
        <w:rPr>
          <w:i/>
          <w:sz w:val="24"/>
        </w:rPr>
        <w:t>al</w:t>
      </w:r>
      <w:r>
        <w:rPr>
          <w:sz w:val="24"/>
        </w:rPr>
        <w:t>, 2009).</w:t>
      </w:r>
    </w:p>
    <w:p>
      <w:pPr>
        <w:pStyle w:val="BodyText"/>
        <w:spacing w:line="360" w:lineRule="auto" w:before="194"/>
        <w:ind w:left="675" w:right="1409" w:firstLine="707"/>
        <w:jc w:val="both"/>
      </w:pPr>
      <w:r>
        <w:rPr/>
        <w:t>Les eaux usées  contiennent  des organismes  pathogènes  pour  l’homme  tels  que  des bactéries, (</w:t>
      </w:r>
      <w:r>
        <w:rPr>
          <w:i/>
        </w:rPr>
        <w:t>Escherichia coli</w:t>
      </w:r>
      <w:r>
        <w:rPr/>
        <w:t>, </w:t>
      </w:r>
      <w:r>
        <w:rPr>
          <w:i/>
        </w:rPr>
        <w:t>Salmonella</w:t>
      </w:r>
      <w:r>
        <w:rPr/>
        <w:t>, </w:t>
      </w:r>
      <w:r>
        <w:rPr>
          <w:i/>
        </w:rPr>
        <w:t>Shigella</w:t>
      </w:r>
      <w:r>
        <w:rPr/>
        <w:t>, </w:t>
      </w:r>
      <w:r>
        <w:rPr>
          <w:i/>
        </w:rPr>
        <w:t>Pseudomonas</w:t>
      </w:r>
      <w:r>
        <w:rPr/>
        <w:t>, </w:t>
      </w:r>
      <w:r>
        <w:rPr>
          <w:i/>
        </w:rPr>
        <w:t>Campylobacter</w:t>
      </w:r>
      <w:r>
        <w:rPr/>
        <w:t>),des virus (entérovirus, adénovirus, coronavirus,  rotavirus,  virus  de  l’hépatite  A  et E)  ainsi  que des parasites (</w:t>
      </w:r>
      <w:r>
        <w:rPr>
          <w:i/>
        </w:rPr>
        <w:t>Giardia </w:t>
      </w:r>
      <w:r>
        <w:rPr/>
        <w:t>et </w:t>
      </w:r>
      <w:r>
        <w:rPr>
          <w:i/>
        </w:rPr>
        <w:t>Cryptosporidium</w:t>
      </w:r>
      <w:r>
        <w:rPr/>
        <w:t>).Les risques liés à ces agents pour l’homme sont principalement des infections entériques. Certains agents microbiens peuvent causer des infections respiratoires, cutanées, oculaires ou une hépatite. (Gauvin et </w:t>
      </w:r>
      <w:r>
        <w:rPr>
          <w:i/>
        </w:rPr>
        <w:t>al</w:t>
      </w:r>
      <w:r>
        <w:rPr/>
        <w:t>,</w:t>
      </w:r>
      <w:r>
        <w:rPr>
          <w:spacing w:val="-6"/>
        </w:rPr>
        <w:t> </w:t>
      </w:r>
      <w:r>
        <w:rPr/>
        <w:t>2006).</w:t>
      </w:r>
    </w:p>
    <w:p>
      <w:pPr>
        <w:pStyle w:val="BodyText"/>
        <w:spacing w:line="360" w:lineRule="auto" w:before="200"/>
        <w:ind w:left="675" w:right="1411" w:firstLine="707"/>
        <w:jc w:val="both"/>
      </w:pPr>
      <w:r>
        <w:rPr/>
        <w:t>Le risque hydrique survient de manière directe ou indirecte, dans le premier cas, il résulte d’un contact avec l’eau contaminée elle- même, dans le second cas, il survient par l’intermédiaire d’aliments ou d’air contaminée par une eau de qualité impropre : végétaux consommés crus, glaces ou poissons. (Festy et </w:t>
      </w:r>
      <w:r>
        <w:rPr>
          <w:i/>
        </w:rPr>
        <w:t>al</w:t>
      </w:r>
      <w:r>
        <w:rPr/>
        <w:t>, 2003).</w:t>
      </w:r>
    </w:p>
    <w:p>
      <w:pPr>
        <w:pStyle w:val="Heading4"/>
        <w:numPr>
          <w:ilvl w:val="2"/>
          <w:numId w:val="12"/>
        </w:numPr>
        <w:tabs>
          <w:tab w:pos="1248" w:val="left" w:leader="none"/>
        </w:tabs>
        <w:spacing w:line="240" w:lineRule="auto" w:before="203" w:after="0"/>
        <w:ind w:left="1247" w:right="0" w:hanging="572"/>
        <w:jc w:val="left"/>
      </w:pPr>
      <w:bookmarkStart w:name="_TOC_250069" w:id="12"/>
      <w:r>
        <w:rPr/>
        <w:t>Les bactéries indicatrices </w:t>
      </w:r>
      <w:r>
        <w:rPr>
          <w:spacing w:val="-3"/>
        </w:rPr>
        <w:t>de </w:t>
      </w:r>
      <w:bookmarkEnd w:id="12"/>
      <w:r>
        <w:rPr/>
        <w:t>contamination fécale :</w:t>
      </w:r>
    </w:p>
    <w:p>
      <w:pPr>
        <w:pStyle w:val="BodyText"/>
        <w:spacing w:before="2"/>
        <w:rPr>
          <w:b/>
          <w:sz w:val="29"/>
        </w:rPr>
      </w:pPr>
    </w:p>
    <w:p>
      <w:pPr>
        <w:pStyle w:val="BodyText"/>
        <w:spacing w:line="357" w:lineRule="auto"/>
        <w:ind w:left="675" w:right="1431" w:firstLine="707"/>
        <w:jc w:val="both"/>
      </w:pPr>
      <w:r>
        <w:rPr/>
        <w:t>Ce sont les indicateurs  microbiens  de  pollution  fécale  appelés  aussi  germes  test ou germes témoins de contamination</w:t>
      </w:r>
      <w:r>
        <w:rPr>
          <w:spacing w:val="-7"/>
        </w:rPr>
        <w:t> </w:t>
      </w:r>
      <w:r>
        <w:rPr/>
        <w:t>fécale.</w:t>
      </w:r>
    </w:p>
    <w:p>
      <w:pPr>
        <w:pStyle w:val="Heading4"/>
        <w:numPr>
          <w:ilvl w:val="3"/>
          <w:numId w:val="14"/>
        </w:numPr>
        <w:tabs>
          <w:tab w:pos="1427" w:val="left" w:leader="none"/>
        </w:tabs>
        <w:spacing w:line="240" w:lineRule="auto" w:before="209" w:after="0"/>
        <w:ind w:left="1426" w:right="0" w:hanging="751"/>
        <w:jc w:val="left"/>
      </w:pPr>
      <w:bookmarkStart w:name="_TOC_250068" w:id="13"/>
      <w:r>
        <w:rPr/>
        <w:t>Coliformes totaux (CT)</w:t>
      </w:r>
      <w:r>
        <w:rPr>
          <w:spacing w:val="-5"/>
        </w:rPr>
        <w:t> </w:t>
      </w:r>
      <w:bookmarkEnd w:id="13"/>
      <w:r>
        <w:rPr/>
        <w:t>:</w:t>
      </w:r>
    </w:p>
    <w:p>
      <w:pPr>
        <w:pStyle w:val="BodyText"/>
        <w:spacing w:before="10"/>
        <w:rPr>
          <w:b/>
          <w:sz w:val="28"/>
        </w:rPr>
      </w:pPr>
    </w:p>
    <w:p>
      <w:pPr>
        <w:pStyle w:val="BodyText"/>
        <w:spacing w:line="362" w:lineRule="auto"/>
        <w:ind w:left="675" w:right="1415" w:firstLine="707"/>
        <w:jc w:val="both"/>
      </w:pPr>
      <w:r>
        <w:rPr/>
        <w:t>Les coliformes totaux correspondent à des bacilles Gram négatif, non sporulés, oxydase négatifs, aérobies ou anaérobies facultatifs, capables de</w:t>
      </w:r>
    </w:p>
    <w:p>
      <w:pPr>
        <w:pStyle w:val="BodyText"/>
        <w:spacing w:line="362" w:lineRule="auto" w:before="194"/>
        <w:ind w:left="675" w:right="2095"/>
      </w:pPr>
      <w:r>
        <w:rPr/>
        <w:t>se multiplier en présence de sels biliaires et de fermenter  le  lactose  avec  production  d’acide et </w:t>
      </w:r>
      <w:r>
        <w:rPr>
          <w:spacing w:val="-3"/>
        </w:rPr>
        <w:t>de </w:t>
      </w:r>
      <w:r>
        <w:rPr/>
        <w:t>gaz en 48 heures à une température de 35-37°C.(Montiel,</w:t>
      </w:r>
      <w:r>
        <w:rPr>
          <w:spacing w:val="2"/>
        </w:rPr>
        <w:t> </w:t>
      </w:r>
      <w:r>
        <w:rPr/>
        <w:t>2004).</w:t>
      </w:r>
    </w:p>
    <w:p>
      <w:pPr>
        <w:spacing w:after="0" w:line="362" w:lineRule="auto"/>
        <w:sectPr>
          <w:pgSz w:w="11900" w:h="16840"/>
          <w:pgMar w:header="727" w:footer="1061" w:top="1180" w:bottom="1260" w:left="740" w:right="0"/>
        </w:sectPr>
      </w:pPr>
    </w:p>
    <w:p>
      <w:pPr>
        <w:pStyle w:val="BodyText"/>
        <w:rPr>
          <w:sz w:val="16"/>
        </w:rPr>
      </w:pPr>
    </w:p>
    <w:p>
      <w:pPr>
        <w:pStyle w:val="BodyText"/>
        <w:spacing w:line="362" w:lineRule="auto" w:before="90"/>
        <w:ind w:left="675" w:right="1430" w:firstLine="707"/>
        <w:jc w:val="both"/>
      </w:pPr>
      <w:r>
        <w:rPr/>
        <w:t>Ces germes sont sensibles au chlore, et leur présence dans les échantillons d’eau peut indiquer l’existence d’un biofilm ou un manque d’efficacité du traitement.(Verhille, 2013).</w:t>
      </w:r>
    </w:p>
    <w:p>
      <w:pPr>
        <w:pStyle w:val="Heading4"/>
        <w:numPr>
          <w:ilvl w:val="3"/>
          <w:numId w:val="14"/>
        </w:numPr>
        <w:tabs>
          <w:tab w:pos="1368" w:val="left" w:leader="none"/>
        </w:tabs>
        <w:spacing w:line="240" w:lineRule="auto" w:before="198" w:after="0"/>
        <w:ind w:left="1368" w:right="0" w:hanging="693"/>
        <w:jc w:val="left"/>
      </w:pPr>
      <w:bookmarkStart w:name="_TOC_250067" w:id="14"/>
      <w:r>
        <w:rPr/>
        <w:t>Coliformes fécaux (CF) ou coliformes thermo tolérants (CTT)</w:t>
      </w:r>
      <w:r>
        <w:rPr>
          <w:spacing w:val="-14"/>
        </w:rPr>
        <w:t> </w:t>
      </w:r>
      <w:bookmarkEnd w:id="14"/>
      <w:r>
        <w:rPr/>
        <w:t>:</w:t>
      </w:r>
    </w:p>
    <w:p>
      <w:pPr>
        <w:pStyle w:val="BodyText"/>
        <w:spacing w:before="2"/>
        <w:rPr>
          <w:b/>
          <w:sz w:val="29"/>
        </w:rPr>
      </w:pPr>
    </w:p>
    <w:p>
      <w:pPr>
        <w:pStyle w:val="BodyText"/>
        <w:spacing w:line="360" w:lineRule="auto"/>
        <w:ind w:left="675" w:right="1411" w:firstLine="707"/>
        <w:jc w:val="both"/>
      </w:pPr>
      <w:r>
        <w:rPr/>
        <w:t>Ce sont des bacilles Gram négatifs, aérobie, anaérobie facultatifs, Oxydase </w:t>
      </w:r>
      <w:r>
        <w:rPr>
          <w:spacing w:val="3"/>
        </w:rPr>
        <w:t>(-), </w:t>
      </w:r>
      <w:r>
        <w:rPr/>
        <w:t>Lactose (+)  </w:t>
      </w:r>
      <w:r>
        <w:rPr>
          <w:spacing w:val="-4"/>
        </w:rPr>
        <w:t>Les </w:t>
      </w:r>
      <w:r>
        <w:rPr>
          <w:spacing w:val="52"/>
        </w:rPr>
        <w:t> </w:t>
      </w:r>
      <w:r>
        <w:rPr/>
        <w:t>coliformes  fécaux  sont  un  sous-groupe  des  coliformes  totaux  et  comptent parmi leurs membres des espèces de bactéries comme </w:t>
      </w:r>
      <w:r>
        <w:rPr>
          <w:i/>
        </w:rPr>
        <w:t>Escherichia coli </w:t>
      </w:r>
      <w:r>
        <w:rPr/>
        <w:t>et </w:t>
      </w:r>
      <w:r>
        <w:rPr>
          <w:i/>
        </w:rPr>
        <w:t>Klebsiellapneumoniae.</w:t>
      </w:r>
      <w:r>
        <w:rPr/>
        <w:t>(Verhille,</w:t>
      </w:r>
      <w:r>
        <w:rPr>
          <w:spacing w:val="-2"/>
        </w:rPr>
        <w:t> </w:t>
      </w:r>
      <w:r>
        <w:rPr/>
        <w:t>2013).</w:t>
      </w:r>
    </w:p>
    <w:p>
      <w:pPr>
        <w:pStyle w:val="Heading5"/>
        <w:numPr>
          <w:ilvl w:val="4"/>
          <w:numId w:val="14"/>
        </w:numPr>
        <w:tabs>
          <w:tab w:pos="2315" w:val="left" w:leader="none"/>
        </w:tabs>
        <w:spacing w:line="240" w:lineRule="auto" w:before="203" w:after="0"/>
        <w:ind w:left="2314" w:right="0" w:hanging="932"/>
        <w:jc w:val="left"/>
        <w:rPr>
          <w:i w:val="0"/>
        </w:rPr>
      </w:pPr>
      <w:r>
        <w:rPr>
          <w:i/>
        </w:rPr>
        <w:t>Escherichia coli (E. coli)</w:t>
      </w:r>
      <w:r>
        <w:rPr>
          <w:i/>
          <w:spacing w:val="1"/>
        </w:rPr>
        <w:t> </w:t>
      </w:r>
      <w:r>
        <w:rPr>
          <w:i w:val="0"/>
        </w:rPr>
        <w:t>:</w:t>
      </w:r>
    </w:p>
    <w:p>
      <w:pPr>
        <w:pStyle w:val="BodyText"/>
        <w:spacing w:before="10"/>
        <w:rPr>
          <w:b/>
          <w:sz w:val="28"/>
        </w:rPr>
      </w:pPr>
    </w:p>
    <w:p>
      <w:pPr>
        <w:pStyle w:val="BodyText"/>
        <w:spacing w:line="360" w:lineRule="auto"/>
        <w:ind w:left="675" w:right="1412" w:firstLine="707"/>
        <w:jc w:val="both"/>
      </w:pPr>
      <w:r>
        <w:rPr>
          <w:i/>
        </w:rPr>
        <w:t>Escherichia coli (</w:t>
      </w:r>
      <w:r>
        <w:rPr/>
        <w:t>figure 01) fait partie du groupe des coliformes totaux et constitue le seul membre </w:t>
      </w:r>
      <w:r>
        <w:rPr>
          <w:spacing w:val="-3"/>
        </w:rPr>
        <w:t>de </w:t>
      </w:r>
      <w:r>
        <w:rPr/>
        <w:t>ce groupe que l’on trouve exclusivement dans les matières fécales des </w:t>
      </w:r>
      <w:r>
        <w:rPr>
          <w:spacing w:val="3"/>
        </w:rPr>
        <w:t>êtres </w:t>
      </w:r>
      <w:r>
        <w:rPr/>
        <w:t>humains et des animaux. (Anonyme, 2006, a). </w:t>
      </w:r>
      <w:r>
        <w:rPr>
          <w:spacing w:val="-6"/>
        </w:rPr>
        <w:t>La </w:t>
      </w:r>
      <w:r>
        <w:rPr/>
        <w:t>bactérie </w:t>
      </w:r>
      <w:r>
        <w:rPr>
          <w:i/>
        </w:rPr>
        <w:t>Escherichia coli </w:t>
      </w:r>
      <w:r>
        <w:rPr/>
        <w:t>est l’indicateur d’agents entéropathogènes le plus fiable, et le meilleur moyen  de  détecter  une contamination fécale récente dans les réseaux d’eau potable.(Verhille,</w:t>
      </w:r>
      <w:r>
        <w:rPr>
          <w:spacing w:val="-8"/>
        </w:rPr>
        <w:t> </w:t>
      </w:r>
      <w:r>
        <w:rPr/>
        <w:t>2013).</w:t>
      </w:r>
    </w:p>
    <w:p>
      <w:pPr>
        <w:pStyle w:val="BodyText"/>
        <w:spacing w:before="10"/>
        <w:rPr>
          <w:sz w:val="12"/>
        </w:rPr>
      </w:pPr>
      <w:r>
        <w:rPr/>
        <w:pict>
          <v:group style="position:absolute;margin-left:128.91333pt;margin-top:9.894268pt;width:336.2pt;height:231.75pt;mso-position-horizontal-relative:page;mso-position-vertical-relative:paragraph;z-index:-856;mso-wrap-distance-left:0;mso-wrap-distance-right:0" coordorigin="2578,198" coordsize="6724,4635">
            <v:shape style="position:absolute;left:2578;top:197;width:6724;height:4635" type="#_x0000_t75" stroked="false">
              <v:imagedata r:id="rId41" o:title=""/>
            </v:shape>
            <v:shape style="position:absolute;left:2681;top:293;width:6434;height:4354" type="#_x0000_t75" stroked="false">
              <v:imagedata r:id="rId42" o:title=""/>
            </v:shape>
            <v:rect style="position:absolute;left:2651;top:263;width:6494;height:4414" filled="false" stroked="true" strokeweight="2.997985pt" strokecolor="#000000">
              <v:stroke dashstyle="solid"/>
            </v:rect>
            <w10:wrap type="topAndBottom"/>
          </v:group>
        </w:pict>
      </w:r>
    </w:p>
    <w:p>
      <w:pPr>
        <w:pStyle w:val="BodyText"/>
        <w:spacing w:before="2"/>
        <w:rPr>
          <w:sz w:val="22"/>
        </w:rPr>
      </w:pPr>
    </w:p>
    <w:p>
      <w:pPr>
        <w:spacing w:before="0"/>
        <w:ind w:left="1387" w:right="0" w:firstLine="0"/>
        <w:jc w:val="left"/>
        <w:rPr>
          <w:sz w:val="24"/>
        </w:rPr>
      </w:pPr>
      <w:r>
        <w:rPr>
          <w:b/>
          <w:sz w:val="24"/>
        </w:rPr>
        <w:t>Figure 01 : </w:t>
      </w:r>
      <w:r>
        <w:rPr>
          <w:sz w:val="24"/>
        </w:rPr>
        <w:t>Vue au microscope électronique de la bactérie </w:t>
      </w:r>
      <w:r>
        <w:rPr>
          <w:i/>
          <w:sz w:val="24"/>
        </w:rPr>
        <w:t>Escherichia coli. </w:t>
      </w:r>
      <w:r>
        <w:rPr>
          <w:sz w:val="24"/>
        </w:rPr>
        <w:t>[2]</w:t>
      </w:r>
    </w:p>
    <w:p>
      <w:pPr>
        <w:pStyle w:val="BodyText"/>
        <w:rPr>
          <w:sz w:val="26"/>
        </w:rPr>
      </w:pPr>
    </w:p>
    <w:p>
      <w:pPr>
        <w:pStyle w:val="BodyText"/>
        <w:rPr>
          <w:sz w:val="26"/>
        </w:rPr>
      </w:pPr>
    </w:p>
    <w:p>
      <w:pPr>
        <w:pStyle w:val="BodyText"/>
        <w:spacing w:before="1"/>
        <w:rPr>
          <w:sz w:val="31"/>
        </w:rPr>
      </w:pPr>
    </w:p>
    <w:p>
      <w:pPr>
        <w:pStyle w:val="Heading5"/>
        <w:numPr>
          <w:ilvl w:val="3"/>
          <w:numId w:val="14"/>
        </w:numPr>
        <w:tabs>
          <w:tab w:pos="1428" w:val="left" w:leader="none"/>
        </w:tabs>
        <w:spacing w:line="240" w:lineRule="auto" w:before="1" w:after="0"/>
        <w:ind w:left="1427" w:right="0" w:hanging="752"/>
        <w:jc w:val="left"/>
        <w:rPr>
          <w:i w:val="0"/>
        </w:rPr>
      </w:pPr>
      <w:bookmarkStart w:name="_TOC_250066" w:id="15"/>
      <w:r>
        <w:rPr>
          <w:i/>
        </w:rPr>
        <w:t>Les streptocoques fécaux</w:t>
      </w:r>
      <w:r>
        <w:rPr>
          <w:i/>
          <w:spacing w:val="-2"/>
        </w:rPr>
        <w:t> </w:t>
      </w:r>
      <w:bookmarkEnd w:id="15"/>
      <w:r>
        <w:rPr>
          <w:i w:val="0"/>
        </w:rPr>
        <w:t>:</w:t>
      </w:r>
    </w:p>
    <w:p>
      <w:pPr>
        <w:pStyle w:val="BodyText"/>
        <w:spacing w:before="9"/>
        <w:rPr>
          <w:b/>
          <w:sz w:val="28"/>
        </w:rPr>
      </w:pPr>
    </w:p>
    <w:p>
      <w:pPr>
        <w:pStyle w:val="BodyText"/>
        <w:spacing w:line="362" w:lineRule="auto"/>
        <w:ind w:left="675" w:right="1413" w:firstLine="707"/>
        <w:jc w:val="both"/>
      </w:pPr>
      <w:r>
        <w:rPr/>
        <w:t>Ces bactéries appartiennent à la famille des </w:t>
      </w:r>
      <w:r>
        <w:rPr>
          <w:i/>
        </w:rPr>
        <w:t>streptococcaceae</w:t>
      </w:r>
      <w:r>
        <w:rPr/>
        <w:t>, sont des cocci généralement disposées en diplocoques ou en courte chaine, à gram négatif, asporulantes,</w:t>
      </w:r>
    </w:p>
    <w:p>
      <w:pPr>
        <w:spacing w:after="0" w:line="362" w:lineRule="auto"/>
        <w:jc w:val="both"/>
        <w:sectPr>
          <w:pgSz w:w="11900" w:h="16840"/>
          <w:pgMar w:header="727" w:footer="1061" w:top="1180" w:bottom="1260" w:left="740" w:right="0"/>
        </w:sectPr>
      </w:pPr>
    </w:p>
    <w:p>
      <w:pPr>
        <w:pStyle w:val="BodyText"/>
        <w:rPr>
          <w:sz w:val="16"/>
        </w:rPr>
      </w:pPr>
    </w:p>
    <w:p>
      <w:pPr>
        <w:pStyle w:val="BodyText"/>
        <w:spacing w:line="360" w:lineRule="auto" w:before="90"/>
        <w:ind w:left="675" w:right="1415"/>
        <w:jc w:val="both"/>
      </w:pPr>
      <w:r>
        <w:rPr/>
        <w:t>immobiles, aérobies facultatifs et possédant un métabolisme fermentatif. Ces germes colonisent l'intestin de l'homme et des animaux à sang chaud. Leur présence dans le milieu hydrique prouve une pollution d'origine fécale de l'eau. Cependant, on peut trouver aussi des streptocoques fécaux dans le sol, les plantes et les insectes. (Berne, 1997).</w:t>
      </w:r>
    </w:p>
    <w:p>
      <w:pPr>
        <w:spacing w:before="199"/>
        <w:ind w:left="675" w:right="0" w:firstLine="0"/>
        <w:jc w:val="left"/>
        <w:rPr>
          <w:sz w:val="24"/>
        </w:rPr>
      </w:pPr>
      <w:r>
        <w:rPr>
          <w:b/>
          <w:sz w:val="24"/>
        </w:rPr>
        <w:t>I.4.2. Bactéries pathogènes:</w:t>
      </w:r>
      <w:r>
        <w:rPr>
          <w:sz w:val="24"/>
        </w:rPr>
        <w:t>(tableau 02)</w:t>
      </w:r>
    </w:p>
    <w:p>
      <w:pPr>
        <w:pStyle w:val="BodyText"/>
        <w:spacing w:before="10"/>
        <w:rPr>
          <w:sz w:val="29"/>
        </w:rPr>
      </w:pPr>
    </w:p>
    <w:p>
      <w:pPr>
        <w:spacing w:before="0"/>
        <w:ind w:left="675" w:right="0" w:firstLine="0"/>
        <w:jc w:val="left"/>
        <w:rPr>
          <w:b/>
          <w:sz w:val="24"/>
        </w:rPr>
      </w:pPr>
      <w:r>
        <w:rPr>
          <w:b/>
          <w:sz w:val="24"/>
        </w:rPr>
        <w:t>I.4.2. 1.</w:t>
      </w:r>
      <w:r>
        <w:rPr>
          <w:b/>
          <w:i/>
          <w:sz w:val="24"/>
        </w:rPr>
        <w:t>Shigella </w:t>
      </w:r>
      <w:r>
        <w:rPr>
          <w:b/>
          <w:sz w:val="24"/>
        </w:rPr>
        <w:t>:</w:t>
      </w:r>
    </w:p>
    <w:p>
      <w:pPr>
        <w:pStyle w:val="BodyText"/>
        <w:spacing w:before="10"/>
        <w:rPr>
          <w:b/>
          <w:sz w:val="28"/>
        </w:rPr>
      </w:pPr>
    </w:p>
    <w:p>
      <w:pPr>
        <w:pStyle w:val="BodyText"/>
        <w:spacing w:line="360" w:lineRule="auto"/>
        <w:ind w:left="675" w:right="1412" w:firstLine="707"/>
        <w:jc w:val="both"/>
      </w:pPr>
      <w:r>
        <w:rPr/>
        <w:t>Les shigelles ne constituent plus un genre ni une espèce : le groupe  </w:t>
      </w:r>
      <w:r>
        <w:rPr>
          <w:i/>
        </w:rPr>
        <w:t>Shigelle  </w:t>
      </w:r>
      <w:r>
        <w:rPr/>
        <w:t>appartient désormais à l’espèce colibacille en raison de similitudes phénotypiques et génétiques. </w:t>
      </w:r>
      <w:r>
        <w:rPr>
          <w:spacing w:val="-4"/>
        </w:rPr>
        <w:t>Les</w:t>
      </w:r>
      <w:r>
        <w:rPr>
          <w:spacing w:val="52"/>
        </w:rPr>
        <w:t> </w:t>
      </w:r>
      <w:r>
        <w:rPr/>
        <w:t>shigelles appartiennent à la famille des entérobactéries et à l’espèce colibacille.</w:t>
      </w:r>
    </w:p>
    <w:p>
      <w:pPr>
        <w:pStyle w:val="BodyText"/>
        <w:spacing w:line="360" w:lineRule="auto" w:before="199"/>
        <w:ind w:left="675" w:right="1416" w:firstLine="707"/>
        <w:jc w:val="both"/>
      </w:pPr>
      <w:r>
        <w:rPr/>
        <w:t>Ce sont des germes pathogènes stricts des êtres humains et sont sous forme de courts bâtonnets de 2 à 3 µm de long, immobiles, à flagellés, non encapsulés. Leur température optimale de croissance est de 37°C en milieu aéro ou anaérobie. Elles sont peu résistantes en milieu extérieur, ne produisant pas de gaz lors de la fermentation du glucose et ne le dégrade pas le glucose.(Xavier et </w:t>
      </w:r>
      <w:r>
        <w:rPr>
          <w:i/>
        </w:rPr>
        <w:t>al</w:t>
      </w:r>
      <w:r>
        <w:rPr/>
        <w:t>, 2007).</w:t>
      </w:r>
    </w:p>
    <w:p>
      <w:pPr>
        <w:pStyle w:val="BodyText"/>
        <w:spacing w:line="360" w:lineRule="auto" w:before="201"/>
        <w:ind w:left="675" w:right="1428" w:firstLine="707"/>
        <w:jc w:val="both"/>
      </w:pPr>
      <w:r>
        <w:rPr/>
        <w:t>Les Shigelles ont pour unique réservoir naturel le tube digestif de l’homme exception faite des primates en captivité. Retrouvés uniquement dans les selles de malades et des porteurs sains.</w:t>
      </w:r>
    </w:p>
    <w:p>
      <w:pPr>
        <w:spacing w:before="202"/>
        <w:ind w:left="675" w:right="0" w:firstLine="0"/>
        <w:jc w:val="left"/>
        <w:rPr>
          <w:b/>
          <w:sz w:val="24"/>
        </w:rPr>
      </w:pPr>
      <w:r>
        <w:rPr>
          <w:b/>
          <w:sz w:val="24"/>
        </w:rPr>
        <w:t>I.4. 2.2. </w:t>
      </w:r>
      <w:r>
        <w:rPr>
          <w:b/>
          <w:i/>
          <w:sz w:val="24"/>
        </w:rPr>
        <w:t>Salmonella</w:t>
      </w:r>
      <w:r>
        <w:rPr>
          <w:b/>
          <w:sz w:val="24"/>
        </w:rPr>
        <w:t>:</w:t>
      </w:r>
    </w:p>
    <w:p>
      <w:pPr>
        <w:pStyle w:val="BodyText"/>
        <w:spacing w:before="2"/>
        <w:rPr>
          <w:b/>
          <w:sz w:val="29"/>
        </w:rPr>
      </w:pPr>
    </w:p>
    <w:p>
      <w:pPr>
        <w:pStyle w:val="BodyText"/>
        <w:spacing w:line="357" w:lineRule="auto"/>
        <w:ind w:left="675" w:right="1427" w:firstLine="707"/>
        <w:jc w:val="both"/>
      </w:pPr>
      <w:r>
        <w:rPr/>
        <w:t>Les salmonelles appartiennent à la famille des entérobactéries responsables de gastroentérites fébriles entraînant parfois des septicémies. (Aumaître, 2004).</w:t>
      </w:r>
    </w:p>
    <w:p>
      <w:pPr>
        <w:pStyle w:val="BodyText"/>
        <w:spacing w:line="360" w:lineRule="auto" w:before="206"/>
        <w:ind w:left="675" w:right="1415" w:firstLine="707"/>
        <w:jc w:val="both"/>
      </w:pPr>
      <w:r>
        <w:rPr/>
        <w:t>Ce sont des bacilles Gram négatifs aéro-anaérobies facultatifs, non sporulés, mobiles pour la plupart avec une ciliature péritriche, mais certaines sont immobiles. Elles sont</w:t>
      </w:r>
      <w:r>
        <w:rPr>
          <w:spacing w:val="-42"/>
        </w:rPr>
        <w:t> </w:t>
      </w:r>
      <w:r>
        <w:rPr/>
        <w:t>oxydase et lactose négative, nitrate réductase positive, et fermentent le</w:t>
      </w:r>
      <w:r>
        <w:rPr>
          <w:spacing w:val="-8"/>
        </w:rPr>
        <w:t> </w:t>
      </w:r>
      <w:r>
        <w:rPr/>
        <w:t>glucose.</w:t>
      </w:r>
    </w:p>
    <w:p>
      <w:pPr>
        <w:pStyle w:val="ListParagraph"/>
        <w:numPr>
          <w:ilvl w:val="1"/>
          <w:numId w:val="15"/>
        </w:numPr>
        <w:tabs>
          <w:tab w:pos="1068" w:val="left" w:leader="none"/>
        </w:tabs>
        <w:spacing w:line="240" w:lineRule="auto" w:before="201" w:after="0"/>
        <w:ind w:left="1067" w:right="0" w:hanging="392"/>
        <w:jc w:val="left"/>
        <w:rPr>
          <w:b/>
          <w:sz w:val="24"/>
        </w:rPr>
      </w:pPr>
      <w:r>
        <w:rPr>
          <w:b/>
          <w:sz w:val="24"/>
        </w:rPr>
        <w:t>2.3. </w:t>
      </w:r>
      <w:r>
        <w:rPr>
          <w:b/>
          <w:i/>
          <w:sz w:val="24"/>
        </w:rPr>
        <w:t>Campylobacter</w:t>
      </w:r>
      <w:r>
        <w:rPr>
          <w:b/>
          <w:sz w:val="24"/>
        </w:rPr>
        <w:t>:</w:t>
      </w:r>
    </w:p>
    <w:p>
      <w:pPr>
        <w:pStyle w:val="BodyText"/>
        <w:spacing w:before="2"/>
        <w:rPr>
          <w:b/>
          <w:sz w:val="29"/>
        </w:rPr>
      </w:pPr>
    </w:p>
    <w:p>
      <w:pPr>
        <w:spacing w:before="0"/>
        <w:ind w:left="1382" w:right="0" w:firstLine="0"/>
        <w:jc w:val="left"/>
        <w:rPr>
          <w:sz w:val="24"/>
        </w:rPr>
      </w:pPr>
      <w:r>
        <w:rPr>
          <w:sz w:val="24"/>
        </w:rPr>
        <w:t>Le genre </w:t>
      </w:r>
      <w:r>
        <w:rPr>
          <w:i/>
          <w:sz w:val="24"/>
        </w:rPr>
        <w:t>Campylobacter </w:t>
      </w:r>
      <w:r>
        <w:rPr>
          <w:sz w:val="24"/>
        </w:rPr>
        <w:t>appartient à la famille des </w:t>
      </w:r>
      <w:r>
        <w:rPr>
          <w:i/>
          <w:sz w:val="24"/>
        </w:rPr>
        <w:t>Campylobacteraceae </w:t>
      </w:r>
      <w:r>
        <w:rPr>
          <w:sz w:val="24"/>
        </w:rPr>
        <w:t>avec le genre</w:t>
      </w:r>
    </w:p>
    <w:p>
      <w:pPr>
        <w:spacing w:before="136"/>
        <w:ind w:left="675" w:right="0" w:firstLine="0"/>
        <w:jc w:val="left"/>
        <w:rPr>
          <w:sz w:val="24"/>
        </w:rPr>
      </w:pPr>
      <w:r>
        <w:rPr>
          <w:i/>
          <w:sz w:val="24"/>
        </w:rPr>
        <w:t>Arcobacter. </w:t>
      </w:r>
      <w:r>
        <w:rPr>
          <w:sz w:val="24"/>
        </w:rPr>
        <w:t>(Bolla et </w:t>
      </w:r>
      <w:r>
        <w:rPr>
          <w:i/>
          <w:sz w:val="24"/>
        </w:rPr>
        <w:t>al</w:t>
      </w:r>
      <w:r>
        <w:rPr>
          <w:sz w:val="24"/>
        </w:rPr>
        <w:t>, 2008).</w:t>
      </w:r>
    </w:p>
    <w:p>
      <w:pPr>
        <w:spacing w:after="0"/>
        <w:jc w:val="left"/>
        <w:rPr>
          <w:sz w:val="24"/>
        </w:rPr>
        <w:sectPr>
          <w:pgSz w:w="11900" w:h="16840"/>
          <w:pgMar w:header="727" w:footer="1061" w:top="1180" w:bottom="1260" w:left="740" w:right="0"/>
        </w:sectPr>
      </w:pPr>
    </w:p>
    <w:p>
      <w:pPr>
        <w:pStyle w:val="BodyText"/>
        <w:rPr>
          <w:sz w:val="16"/>
        </w:rPr>
      </w:pPr>
    </w:p>
    <w:p>
      <w:pPr>
        <w:pStyle w:val="BodyText"/>
        <w:spacing w:line="360" w:lineRule="auto" w:before="90"/>
        <w:ind w:left="675" w:right="1425" w:firstLine="707"/>
        <w:jc w:val="both"/>
      </w:pPr>
      <w:r>
        <w:rPr/>
        <w:t>Les </w:t>
      </w:r>
      <w:r>
        <w:rPr>
          <w:i/>
        </w:rPr>
        <w:t>Campylobacter </w:t>
      </w:r>
      <w:r>
        <w:rPr/>
        <w:t>sont des bactéries spiralées du tube digestif des animaux, transmises occasionnellement à l’homme. Elles sont catalase et oxydase positives, réduisent des nitrates en nitrites et ne dégradent pas les glucides.</w:t>
      </w:r>
    </w:p>
    <w:p>
      <w:pPr>
        <w:pStyle w:val="BodyText"/>
        <w:spacing w:line="360" w:lineRule="auto" w:before="201"/>
        <w:ind w:left="675" w:right="1450" w:firstLine="707"/>
      </w:pPr>
      <w:r>
        <w:rPr>
          <w:spacing w:val="-4"/>
        </w:rPr>
        <w:t>Le </w:t>
      </w:r>
      <w:r>
        <w:rPr/>
        <w:t>réservoir principal des </w:t>
      </w:r>
      <w:r>
        <w:rPr>
          <w:i/>
        </w:rPr>
        <w:t>Campylobacter </w:t>
      </w:r>
      <w:r>
        <w:rPr/>
        <w:t>(figure 02) est l’animal et l’origine de la contamination humaine est principalement alimentaire, soit par consommation de produits animaux (chaire de volaille notamment), soit par consommation de denrées ou d'eau</w:t>
      </w:r>
      <w:r>
        <w:rPr>
          <w:spacing w:val="-40"/>
        </w:rPr>
        <w:t> </w:t>
      </w:r>
      <w:r>
        <w:rPr/>
        <w:t>souillées. Les réservoirs humains jouent un rôle mineur dans la transmission.(Bolla et </w:t>
      </w:r>
      <w:r>
        <w:rPr>
          <w:i/>
        </w:rPr>
        <w:t>al</w:t>
      </w:r>
      <w:r>
        <w:rPr/>
        <w:t>,</w:t>
      </w:r>
      <w:r>
        <w:rPr>
          <w:spacing w:val="-14"/>
        </w:rPr>
        <w:t> </w:t>
      </w:r>
      <w:r>
        <w:rPr/>
        <w:t>2008).</w:t>
      </w:r>
    </w:p>
    <w:p>
      <w:pPr>
        <w:pStyle w:val="BodyText"/>
        <w:spacing w:before="7"/>
        <w:rPr>
          <w:sz w:val="12"/>
        </w:rPr>
      </w:pPr>
      <w:r>
        <w:rPr/>
        <w:pict>
          <v:group style="position:absolute;margin-left:134.309708pt;margin-top:9.733086pt;width:324.8pt;height:204.5pt;mso-position-horizontal-relative:page;mso-position-vertical-relative:paragraph;z-index:-832;mso-wrap-distance-left:0;mso-wrap-distance-right:0" coordorigin="2686,195" coordsize="6496,4090">
            <v:shape style="position:absolute;left:2686;top:194;width:6496;height:4090" type="#_x0000_t75" stroked="false">
              <v:imagedata r:id="rId43" o:title=""/>
            </v:shape>
            <v:shape style="position:absolute;left:2786;top:292;width:6212;height:3807" type="#_x0000_t75" stroked="false">
              <v:imagedata r:id="rId44" o:title=""/>
            </v:shape>
            <v:rect style="position:absolute;left:2756;top:262;width:6272;height:3867" filled="false" stroked="true" strokeweight="2.997985pt" strokecolor="#000000">
              <v:stroke dashstyle="solid"/>
            </v:rect>
            <w10:wrap type="topAndBottom"/>
          </v:group>
        </w:pict>
      </w:r>
    </w:p>
    <w:p>
      <w:pPr>
        <w:pStyle w:val="BodyText"/>
        <w:spacing w:before="9"/>
        <w:rPr>
          <w:sz w:val="22"/>
        </w:rPr>
      </w:pPr>
    </w:p>
    <w:p>
      <w:pPr>
        <w:spacing w:before="0"/>
        <w:ind w:left="1490" w:right="0" w:firstLine="0"/>
        <w:jc w:val="left"/>
        <w:rPr>
          <w:sz w:val="24"/>
        </w:rPr>
      </w:pPr>
      <w:r>
        <w:rPr>
          <w:b/>
          <w:sz w:val="24"/>
        </w:rPr>
        <w:t>Figure 02: </w:t>
      </w:r>
      <w:r>
        <w:rPr>
          <w:sz w:val="24"/>
        </w:rPr>
        <w:t>Vue au microscope électronique de la bactérie</w:t>
      </w:r>
      <w:r>
        <w:rPr>
          <w:spacing w:val="-16"/>
          <w:sz w:val="24"/>
        </w:rPr>
        <w:t> </w:t>
      </w:r>
      <w:r>
        <w:rPr>
          <w:i/>
          <w:sz w:val="24"/>
        </w:rPr>
        <w:t>Campylobacter</w:t>
      </w:r>
      <w:r>
        <w:rPr>
          <w:sz w:val="24"/>
        </w:rPr>
        <w:t>[3].</w:t>
      </w:r>
    </w:p>
    <w:p>
      <w:pPr>
        <w:pStyle w:val="BodyText"/>
        <w:spacing w:before="3"/>
        <w:rPr>
          <w:sz w:val="29"/>
        </w:rPr>
      </w:pPr>
    </w:p>
    <w:p>
      <w:pPr>
        <w:pStyle w:val="BodyText"/>
        <w:spacing w:line="362" w:lineRule="auto"/>
        <w:ind w:left="675" w:right="1450"/>
      </w:pPr>
      <w:r>
        <w:rPr/>
        <w:t>Ces agents pathogènes sont présentés dans le tableau (02) avec ces symptômes et ces voies de contamination.</w:t>
      </w:r>
    </w:p>
    <w:p>
      <w:pPr>
        <w:spacing w:after="0" w:line="362" w:lineRule="auto"/>
        <w:sectPr>
          <w:pgSz w:w="11900" w:h="16840"/>
          <w:pgMar w:header="727" w:footer="1061" w:top="1180" w:bottom="1260" w:left="740" w:right="0"/>
        </w:sectPr>
      </w:pPr>
    </w:p>
    <w:p>
      <w:pPr>
        <w:pStyle w:val="BodyText"/>
        <w:rPr>
          <w:sz w:val="16"/>
        </w:rPr>
      </w:pPr>
    </w:p>
    <w:p>
      <w:pPr>
        <w:pStyle w:val="BodyText"/>
        <w:spacing w:before="90"/>
        <w:ind w:left="675"/>
      </w:pPr>
      <w:r>
        <w:rPr>
          <w:b/>
        </w:rPr>
        <w:t>Tableau02:</w:t>
      </w:r>
      <w:r>
        <w:rPr/>
        <w:t>Les bactéries pathogènes dans les eaux. (Faby et </w:t>
      </w:r>
      <w:r>
        <w:rPr>
          <w:i/>
        </w:rPr>
        <w:t>al</w:t>
      </w:r>
      <w:r>
        <w:rPr/>
        <w:t>, 1997).</w:t>
      </w:r>
    </w:p>
    <w:p>
      <w:pPr>
        <w:pStyle w:val="BodyText"/>
        <w:rPr>
          <w:sz w:val="29"/>
        </w:rPr>
      </w:pPr>
    </w:p>
    <w:tbl>
      <w:tblPr>
        <w:tblW w:w="0" w:type="auto"/>
        <w:jc w:val="left"/>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05"/>
        <w:gridCol w:w="2676"/>
        <w:gridCol w:w="3053"/>
      </w:tblGrid>
      <w:tr>
        <w:trPr>
          <w:trHeight w:val="825" w:hRule="atLeast"/>
        </w:trPr>
        <w:tc>
          <w:tcPr>
            <w:tcW w:w="2805" w:type="dxa"/>
          </w:tcPr>
          <w:p>
            <w:pPr>
              <w:pStyle w:val="TableParagraph"/>
              <w:spacing w:before="8"/>
              <w:rPr>
                <w:b/>
                <w:sz w:val="24"/>
              </w:rPr>
            </w:pPr>
            <w:r>
              <w:rPr>
                <w:b/>
                <w:sz w:val="24"/>
              </w:rPr>
              <w:t>Agents pathogènes</w:t>
            </w:r>
          </w:p>
        </w:tc>
        <w:tc>
          <w:tcPr>
            <w:tcW w:w="2676" w:type="dxa"/>
          </w:tcPr>
          <w:p>
            <w:pPr>
              <w:pStyle w:val="TableParagraph"/>
              <w:spacing w:before="8"/>
              <w:ind w:left="104"/>
              <w:rPr>
                <w:b/>
                <w:sz w:val="24"/>
              </w:rPr>
            </w:pPr>
            <w:r>
              <w:rPr>
                <w:b/>
                <w:sz w:val="24"/>
              </w:rPr>
              <w:t>Symptômes, maladies</w:t>
            </w:r>
          </w:p>
        </w:tc>
        <w:tc>
          <w:tcPr>
            <w:tcW w:w="3053" w:type="dxa"/>
          </w:tcPr>
          <w:p>
            <w:pPr>
              <w:pStyle w:val="TableParagraph"/>
              <w:spacing w:before="8"/>
              <w:ind w:left="102"/>
              <w:rPr>
                <w:b/>
                <w:sz w:val="24"/>
              </w:rPr>
            </w:pPr>
            <w:r>
              <w:rPr>
                <w:b/>
                <w:sz w:val="24"/>
              </w:rPr>
              <w:t>Voies de contamination</w:t>
            </w:r>
          </w:p>
          <w:p>
            <w:pPr>
              <w:pStyle w:val="TableParagraph"/>
              <w:spacing w:before="140"/>
              <w:ind w:left="102"/>
              <w:rPr>
                <w:b/>
                <w:sz w:val="24"/>
              </w:rPr>
            </w:pPr>
            <w:r>
              <w:rPr>
                <w:b/>
                <w:sz w:val="24"/>
              </w:rPr>
              <w:t>Principales</w:t>
            </w:r>
          </w:p>
        </w:tc>
      </w:tr>
      <w:tr>
        <w:trPr>
          <w:trHeight w:val="830" w:hRule="atLeast"/>
        </w:trPr>
        <w:tc>
          <w:tcPr>
            <w:tcW w:w="2805" w:type="dxa"/>
          </w:tcPr>
          <w:p>
            <w:pPr>
              <w:pStyle w:val="TableParagraph"/>
              <w:spacing w:before="12"/>
              <w:rPr>
                <w:b/>
                <w:i/>
                <w:sz w:val="24"/>
              </w:rPr>
            </w:pPr>
            <w:r>
              <w:rPr>
                <w:b/>
                <w:i/>
                <w:sz w:val="24"/>
              </w:rPr>
              <w:t>Salmonella</w:t>
            </w:r>
          </w:p>
        </w:tc>
        <w:tc>
          <w:tcPr>
            <w:tcW w:w="2676" w:type="dxa"/>
          </w:tcPr>
          <w:p>
            <w:pPr>
              <w:pStyle w:val="TableParagraph"/>
              <w:spacing w:before="8"/>
              <w:ind w:left="104"/>
              <w:rPr>
                <w:sz w:val="24"/>
              </w:rPr>
            </w:pPr>
            <w:r>
              <w:rPr>
                <w:sz w:val="24"/>
              </w:rPr>
              <w:t>Typhoïde, paratyphoïde,</w:t>
            </w:r>
          </w:p>
          <w:p>
            <w:pPr>
              <w:pStyle w:val="TableParagraph"/>
              <w:spacing w:before="136"/>
              <w:ind w:left="104"/>
              <w:rPr>
                <w:sz w:val="24"/>
              </w:rPr>
            </w:pPr>
            <w:r>
              <w:rPr>
                <w:sz w:val="24"/>
              </w:rPr>
              <w:t>Salmonellose</w:t>
            </w:r>
          </w:p>
        </w:tc>
        <w:tc>
          <w:tcPr>
            <w:tcW w:w="3053" w:type="dxa"/>
          </w:tcPr>
          <w:p>
            <w:pPr>
              <w:pStyle w:val="TableParagraph"/>
              <w:spacing w:before="8"/>
              <w:ind w:left="102"/>
              <w:rPr>
                <w:sz w:val="24"/>
              </w:rPr>
            </w:pPr>
            <w:r>
              <w:rPr>
                <w:sz w:val="24"/>
              </w:rPr>
              <w:t>Ingestion</w:t>
            </w:r>
          </w:p>
        </w:tc>
      </w:tr>
      <w:tr>
        <w:trPr>
          <w:trHeight w:val="621" w:hRule="atLeast"/>
        </w:trPr>
        <w:tc>
          <w:tcPr>
            <w:tcW w:w="2805" w:type="dxa"/>
          </w:tcPr>
          <w:p>
            <w:pPr>
              <w:pStyle w:val="TableParagraph"/>
              <w:spacing w:before="7"/>
              <w:rPr>
                <w:b/>
                <w:i/>
                <w:sz w:val="24"/>
              </w:rPr>
            </w:pPr>
            <w:r>
              <w:rPr>
                <w:b/>
                <w:i/>
                <w:sz w:val="24"/>
              </w:rPr>
              <w:t>Shigella</w:t>
            </w:r>
          </w:p>
        </w:tc>
        <w:tc>
          <w:tcPr>
            <w:tcW w:w="2676" w:type="dxa"/>
          </w:tcPr>
          <w:p>
            <w:pPr>
              <w:pStyle w:val="TableParagraph"/>
              <w:spacing w:before="3"/>
              <w:ind w:left="104"/>
              <w:rPr>
                <w:sz w:val="24"/>
              </w:rPr>
            </w:pPr>
            <w:r>
              <w:rPr>
                <w:sz w:val="24"/>
              </w:rPr>
              <w:t>Dysenterie bacillaire</w:t>
            </w:r>
          </w:p>
        </w:tc>
        <w:tc>
          <w:tcPr>
            <w:tcW w:w="3053" w:type="dxa"/>
          </w:tcPr>
          <w:p>
            <w:pPr>
              <w:pStyle w:val="TableParagraph"/>
              <w:spacing w:before="3"/>
              <w:ind w:left="102"/>
              <w:rPr>
                <w:sz w:val="24"/>
              </w:rPr>
            </w:pPr>
            <w:r>
              <w:rPr>
                <w:sz w:val="24"/>
              </w:rPr>
              <w:t>Ingestion</w:t>
            </w:r>
          </w:p>
        </w:tc>
      </w:tr>
      <w:tr>
        <w:trPr>
          <w:trHeight w:val="622" w:hRule="atLeast"/>
        </w:trPr>
        <w:tc>
          <w:tcPr>
            <w:tcW w:w="2805" w:type="dxa"/>
          </w:tcPr>
          <w:p>
            <w:pPr>
              <w:pStyle w:val="TableParagraph"/>
              <w:spacing w:before="11"/>
              <w:rPr>
                <w:b/>
                <w:i/>
                <w:sz w:val="24"/>
              </w:rPr>
            </w:pPr>
            <w:r>
              <w:rPr>
                <w:b/>
                <w:i/>
                <w:sz w:val="24"/>
              </w:rPr>
              <w:t>E. coli</w:t>
            </w:r>
          </w:p>
        </w:tc>
        <w:tc>
          <w:tcPr>
            <w:tcW w:w="2676" w:type="dxa"/>
          </w:tcPr>
          <w:p>
            <w:pPr>
              <w:pStyle w:val="TableParagraph"/>
              <w:spacing w:before="7"/>
              <w:ind w:left="104"/>
              <w:rPr>
                <w:sz w:val="24"/>
              </w:rPr>
            </w:pPr>
            <w:r>
              <w:rPr>
                <w:sz w:val="24"/>
              </w:rPr>
              <w:t>Gastro-entérite</w:t>
            </w:r>
          </w:p>
        </w:tc>
        <w:tc>
          <w:tcPr>
            <w:tcW w:w="3053" w:type="dxa"/>
          </w:tcPr>
          <w:p>
            <w:pPr>
              <w:pStyle w:val="TableParagraph"/>
              <w:spacing w:before="7"/>
              <w:ind w:left="102"/>
              <w:rPr>
                <w:sz w:val="24"/>
              </w:rPr>
            </w:pPr>
            <w:r>
              <w:rPr>
                <w:sz w:val="24"/>
              </w:rPr>
              <w:t>Ingestion</w:t>
            </w:r>
          </w:p>
        </w:tc>
      </w:tr>
      <w:tr>
        <w:trPr>
          <w:trHeight w:val="626" w:hRule="atLeast"/>
        </w:trPr>
        <w:tc>
          <w:tcPr>
            <w:tcW w:w="2805" w:type="dxa"/>
          </w:tcPr>
          <w:p>
            <w:pPr>
              <w:pStyle w:val="TableParagraph"/>
              <w:spacing w:before="11"/>
              <w:rPr>
                <w:b/>
                <w:i/>
                <w:sz w:val="24"/>
              </w:rPr>
            </w:pPr>
            <w:r>
              <w:rPr>
                <w:b/>
                <w:i/>
                <w:sz w:val="24"/>
              </w:rPr>
              <w:t>Yersinia</w:t>
            </w:r>
          </w:p>
        </w:tc>
        <w:tc>
          <w:tcPr>
            <w:tcW w:w="2676" w:type="dxa"/>
          </w:tcPr>
          <w:p>
            <w:pPr>
              <w:pStyle w:val="TableParagraph"/>
              <w:spacing w:before="7"/>
              <w:ind w:left="104"/>
              <w:rPr>
                <w:sz w:val="24"/>
              </w:rPr>
            </w:pPr>
            <w:r>
              <w:rPr>
                <w:sz w:val="24"/>
              </w:rPr>
              <w:t>Gastro-entérite</w:t>
            </w:r>
          </w:p>
        </w:tc>
        <w:tc>
          <w:tcPr>
            <w:tcW w:w="3053" w:type="dxa"/>
          </w:tcPr>
          <w:p>
            <w:pPr>
              <w:pStyle w:val="TableParagraph"/>
              <w:spacing w:before="7"/>
              <w:ind w:left="102"/>
              <w:rPr>
                <w:sz w:val="24"/>
              </w:rPr>
            </w:pPr>
            <w:r>
              <w:rPr>
                <w:sz w:val="24"/>
              </w:rPr>
              <w:t>Ingestion</w:t>
            </w:r>
          </w:p>
        </w:tc>
      </w:tr>
      <w:tr>
        <w:trPr>
          <w:trHeight w:val="621" w:hRule="atLeast"/>
        </w:trPr>
        <w:tc>
          <w:tcPr>
            <w:tcW w:w="2805" w:type="dxa"/>
          </w:tcPr>
          <w:p>
            <w:pPr>
              <w:pStyle w:val="TableParagraph"/>
              <w:spacing w:before="6"/>
              <w:rPr>
                <w:b/>
                <w:i/>
                <w:sz w:val="24"/>
              </w:rPr>
            </w:pPr>
            <w:r>
              <w:rPr>
                <w:b/>
                <w:i/>
                <w:sz w:val="24"/>
              </w:rPr>
              <w:t>Campylobacter</w:t>
            </w:r>
          </w:p>
        </w:tc>
        <w:tc>
          <w:tcPr>
            <w:tcW w:w="2676" w:type="dxa"/>
          </w:tcPr>
          <w:p>
            <w:pPr>
              <w:pStyle w:val="TableParagraph"/>
              <w:spacing w:before="2"/>
              <w:ind w:left="104"/>
              <w:rPr>
                <w:sz w:val="24"/>
              </w:rPr>
            </w:pPr>
            <w:r>
              <w:rPr>
                <w:sz w:val="24"/>
              </w:rPr>
              <w:t>Gastro-entérite</w:t>
            </w:r>
          </w:p>
        </w:tc>
        <w:tc>
          <w:tcPr>
            <w:tcW w:w="3053" w:type="dxa"/>
          </w:tcPr>
          <w:p>
            <w:pPr>
              <w:pStyle w:val="TableParagraph"/>
              <w:spacing w:before="2"/>
              <w:ind w:left="102"/>
              <w:rPr>
                <w:sz w:val="24"/>
              </w:rPr>
            </w:pPr>
            <w:r>
              <w:rPr>
                <w:sz w:val="24"/>
              </w:rPr>
              <w:t>Ingestion</w:t>
            </w:r>
          </w:p>
        </w:tc>
      </w:tr>
      <w:tr>
        <w:trPr>
          <w:trHeight w:val="622" w:hRule="atLeast"/>
        </w:trPr>
        <w:tc>
          <w:tcPr>
            <w:tcW w:w="2805" w:type="dxa"/>
          </w:tcPr>
          <w:p>
            <w:pPr>
              <w:pStyle w:val="TableParagraph"/>
              <w:spacing w:before="6"/>
              <w:rPr>
                <w:b/>
                <w:i/>
                <w:sz w:val="24"/>
              </w:rPr>
            </w:pPr>
            <w:r>
              <w:rPr>
                <w:b/>
                <w:i/>
                <w:sz w:val="24"/>
              </w:rPr>
              <w:t>Vibrio</w:t>
            </w:r>
          </w:p>
        </w:tc>
        <w:tc>
          <w:tcPr>
            <w:tcW w:w="2676" w:type="dxa"/>
          </w:tcPr>
          <w:p>
            <w:pPr>
              <w:pStyle w:val="TableParagraph"/>
              <w:spacing w:before="2"/>
              <w:ind w:left="104"/>
              <w:rPr>
                <w:sz w:val="24"/>
              </w:rPr>
            </w:pPr>
            <w:r>
              <w:rPr>
                <w:sz w:val="24"/>
              </w:rPr>
              <w:t>Choléra</w:t>
            </w:r>
          </w:p>
        </w:tc>
        <w:tc>
          <w:tcPr>
            <w:tcW w:w="3053" w:type="dxa"/>
          </w:tcPr>
          <w:p>
            <w:pPr>
              <w:pStyle w:val="TableParagraph"/>
              <w:spacing w:before="2"/>
              <w:ind w:left="102"/>
              <w:rPr>
                <w:sz w:val="24"/>
              </w:rPr>
            </w:pPr>
            <w:r>
              <w:rPr>
                <w:sz w:val="24"/>
              </w:rPr>
              <w:t>Ingestion</w:t>
            </w:r>
          </w:p>
        </w:tc>
      </w:tr>
      <w:tr>
        <w:trPr>
          <w:trHeight w:val="622" w:hRule="atLeast"/>
        </w:trPr>
        <w:tc>
          <w:tcPr>
            <w:tcW w:w="2805" w:type="dxa"/>
          </w:tcPr>
          <w:p>
            <w:pPr>
              <w:pStyle w:val="TableParagraph"/>
              <w:spacing w:before="9"/>
              <w:rPr>
                <w:b/>
                <w:i/>
                <w:sz w:val="24"/>
              </w:rPr>
            </w:pPr>
            <w:r>
              <w:rPr>
                <w:b/>
                <w:i/>
                <w:sz w:val="24"/>
              </w:rPr>
              <w:t>Leptospira</w:t>
            </w:r>
          </w:p>
        </w:tc>
        <w:tc>
          <w:tcPr>
            <w:tcW w:w="2676" w:type="dxa"/>
          </w:tcPr>
          <w:p>
            <w:pPr>
              <w:pStyle w:val="TableParagraph"/>
              <w:spacing w:before="5"/>
              <w:ind w:left="104"/>
              <w:rPr>
                <w:sz w:val="24"/>
              </w:rPr>
            </w:pPr>
            <w:r>
              <w:rPr>
                <w:sz w:val="24"/>
              </w:rPr>
              <w:t>Leptospirose</w:t>
            </w:r>
          </w:p>
        </w:tc>
        <w:tc>
          <w:tcPr>
            <w:tcW w:w="3053" w:type="dxa"/>
          </w:tcPr>
          <w:p>
            <w:pPr>
              <w:pStyle w:val="TableParagraph"/>
              <w:spacing w:before="5"/>
              <w:ind w:left="102"/>
              <w:rPr>
                <w:sz w:val="24"/>
              </w:rPr>
            </w:pPr>
            <w:r>
              <w:rPr>
                <w:sz w:val="24"/>
              </w:rPr>
              <w:t>Cutanée/Inhalation/Ingestion</w:t>
            </w:r>
          </w:p>
        </w:tc>
      </w:tr>
      <w:tr>
        <w:trPr>
          <w:trHeight w:val="625" w:hRule="atLeast"/>
        </w:trPr>
        <w:tc>
          <w:tcPr>
            <w:tcW w:w="2805" w:type="dxa"/>
          </w:tcPr>
          <w:p>
            <w:pPr>
              <w:pStyle w:val="TableParagraph"/>
              <w:spacing w:before="9"/>
              <w:rPr>
                <w:b/>
                <w:i/>
                <w:sz w:val="24"/>
              </w:rPr>
            </w:pPr>
            <w:r>
              <w:rPr>
                <w:b/>
                <w:i/>
                <w:sz w:val="24"/>
              </w:rPr>
              <w:t>Legionella</w:t>
            </w:r>
          </w:p>
        </w:tc>
        <w:tc>
          <w:tcPr>
            <w:tcW w:w="2676" w:type="dxa"/>
          </w:tcPr>
          <w:p>
            <w:pPr>
              <w:pStyle w:val="TableParagraph"/>
              <w:spacing w:before="5"/>
              <w:ind w:left="104"/>
              <w:rPr>
                <w:sz w:val="24"/>
              </w:rPr>
            </w:pPr>
            <w:r>
              <w:rPr>
                <w:sz w:val="24"/>
              </w:rPr>
              <w:t>Leptospirose</w:t>
            </w:r>
          </w:p>
        </w:tc>
        <w:tc>
          <w:tcPr>
            <w:tcW w:w="3053" w:type="dxa"/>
          </w:tcPr>
          <w:p>
            <w:pPr>
              <w:pStyle w:val="TableParagraph"/>
              <w:spacing w:before="5"/>
              <w:ind w:left="102"/>
              <w:rPr>
                <w:sz w:val="24"/>
              </w:rPr>
            </w:pPr>
            <w:r>
              <w:rPr>
                <w:sz w:val="24"/>
              </w:rPr>
              <w:t>Ingestion</w:t>
            </w:r>
          </w:p>
        </w:tc>
      </w:tr>
      <w:tr>
        <w:trPr>
          <w:trHeight w:val="621" w:hRule="atLeast"/>
        </w:trPr>
        <w:tc>
          <w:tcPr>
            <w:tcW w:w="2805" w:type="dxa"/>
          </w:tcPr>
          <w:p>
            <w:pPr>
              <w:pStyle w:val="TableParagraph"/>
              <w:spacing w:before="4"/>
              <w:rPr>
                <w:b/>
                <w:i/>
                <w:sz w:val="24"/>
              </w:rPr>
            </w:pPr>
            <w:r>
              <w:rPr>
                <w:b/>
                <w:i/>
                <w:sz w:val="24"/>
              </w:rPr>
              <w:t>Mycobacterium</w:t>
            </w:r>
          </w:p>
        </w:tc>
        <w:tc>
          <w:tcPr>
            <w:tcW w:w="2676" w:type="dxa"/>
          </w:tcPr>
          <w:p>
            <w:pPr>
              <w:pStyle w:val="TableParagraph"/>
              <w:ind w:left="104"/>
              <w:rPr>
                <w:sz w:val="24"/>
              </w:rPr>
            </w:pPr>
            <w:r>
              <w:rPr>
                <w:sz w:val="24"/>
              </w:rPr>
              <w:t>Tuberculose</w:t>
            </w:r>
          </w:p>
        </w:tc>
        <w:tc>
          <w:tcPr>
            <w:tcW w:w="3053" w:type="dxa"/>
          </w:tcPr>
          <w:p>
            <w:pPr>
              <w:pStyle w:val="TableParagraph"/>
              <w:ind w:left="102"/>
              <w:rPr>
                <w:sz w:val="24"/>
              </w:rPr>
            </w:pPr>
            <w:r>
              <w:rPr>
                <w:sz w:val="24"/>
              </w:rPr>
              <w:t>Ingestion</w:t>
            </w:r>
          </w:p>
        </w:tc>
      </w:tr>
    </w:tbl>
    <w:p>
      <w:pPr>
        <w:pStyle w:val="BodyText"/>
        <w:rPr>
          <w:sz w:val="26"/>
        </w:rPr>
      </w:pPr>
    </w:p>
    <w:p>
      <w:pPr>
        <w:pStyle w:val="BodyText"/>
        <w:rPr>
          <w:sz w:val="28"/>
        </w:rPr>
      </w:pPr>
    </w:p>
    <w:p>
      <w:pPr>
        <w:pStyle w:val="Heading4"/>
        <w:numPr>
          <w:ilvl w:val="2"/>
          <w:numId w:val="15"/>
        </w:numPr>
        <w:tabs>
          <w:tab w:pos="1248" w:val="left" w:leader="none"/>
        </w:tabs>
        <w:spacing w:line="240" w:lineRule="auto" w:before="0" w:after="0"/>
        <w:ind w:left="1247" w:right="0" w:hanging="572"/>
        <w:jc w:val="left"/>
      </w:pPr>
      <w:bookmarkStart w:name="_TOC_250065" w:id="16"/>
      <w:r>
        <w:rPr/>
        <w:t>Les protozoaires</w:t>
      </w:r>
      <w:r>
        <w:rPr>
          <w:spacing w:val="2"/>
        </w:rPr>
        <w:t> </w:t>
      </w:r>
      <w:bookmarkEnd w:id="16"/>
      <w:r>
        <w:rPr/>
        <w:t>:</w:t>
      </w:r>
    </w:p>
    <w:p>
      <w:pPr>
        <w:pStyle w:val="BodyText"/>
        <w:spacing w:before="9"/>
        <w:rPr>
          <w:b/>
          <w:sz w:val="28"/>
        </w:rPr>
      </w:pPr>
    </w:p>
    <w:p>
      <w:pPr>
        <w:pStyle w:val="BodyText"/>
        <w:spacing w:line="360" w:lineRule="auto" w:before="1"/>
        <w:ind w:left="675" w:right="1423" w:firstLine="707"/>
        <w:jc w:val="both"/>
      </w:pPr>
      <w:r>
        <w:rPr/>
        <w:t>Les protozoaires sont des organismes unicellulaires munis d’un noyau et sont plus complexes et de taille plus importante que les bactéries. La plupart des protozoaires pathogènes (tableau 03)sont des organismes parasites. (Faby et </w:t>
      </w:r>
      <w:r>
        <w:rPr>
          <w:i/>
        </w:rPr>
        <w:t>al</w:t>
      </w:r>
      <w:r>
        <w:rPr/>
        <w:t>, 1997).</w:t>
      </w:r>
    </w:p>
    <w:p>
      <w:pPr>
        <w:spacing w:after="0" w:line="360" w:lineRule="auto"/>
        <w:jc w:val="both"/>
        <w:sectPr>
          <w:pgSz w:w="11900" w:h="16840"/>
          <w:pgMar w:header="727" w:footer="1061" w:top="1180" w:bottom="1260" w:left="740" w:right="0"/>
        </w:sectPr>
      </w:pPr>
    </w:p>
    <w:p>
      <w:pPr>
        <w:pStyle w:val="BodyText"/>
        <w:rPr>
          <w:sz w:val="16"/>
        </w:rPr>
      </w:pPr>
    </w:p>
    <w:p>
      <w:pPr>
        <w:pStyle w:val="BodyText"/>
        <w:spacing w:before="90"/>
        <w:ind w:left="675"/>
      </w:pPr>
      <w:r>
        <w:rPr>
          <w:b/>
        </w:rPr>
        <w:t>Tableau03: </w:t>
      </w:r>
      <w:r>
        <w:rPr/>
        <w:t>Les protozoaires pathogènes dans les eaux. (Faby et </w:t>
      </w:r>
      <w:r>
        <w:rPr>
          <w:i/>
        </w:rPr>
        <w:t>al</w:t>
      </w:r>
      <w:r>
        <w:rPr/>
        <w:t>, 1997).</w:t>
      </w:r>
    </w:p>
    <w:p>
      <w:pPr>
        <w:pStyle w:val="BodyText"/>
        <w:rPr>
          <w:sz w:val="29"/>
        </w:rPr>
      </w:pPr>
    </w:p>
    <w:tbl>
      <w:tblPr>
        <w:tblW w:w="0" w:type="auto"/>
        <w:jc w:val="left"/>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05"/>
        <w:gridCol w:w="3117"/>
        <w:gridCol w:w="2836"/>
      </w:tblGrid>
      <w:tr>
        <w:trPr>
          <w:trHeight w:val="825" w:hRule="atLeast"/>
        </w:trPr>
        <w:tc>
          <w:tcPr>
            <w:tcW w:w="2805" w:type="dxa"/>
          </w:tcPr>
          <w:p>
            <w:pPr>
              <w:pStyle w:val="TableParagraph"/>
              <w:spacing w:before="8"/>
              <w:ind w:left="585"/>
              <w:rPr>
                <w:b/>
                <w:sz w:val="24"/>
              </w:rPr>
            </w:pPr>
            <w:r>
              <w:rPr>
                <w:b/>
                <w:sz w:val="24"/>
              </w:rPr>
              <w:t>Organismes</w:t>
            </w:r>
          </w:p>
        </w:tc>
        <w:tc>
          <w:tcPr>
            <w:tcW w:w="3117" w:type="dxa"/>
          </w:tcPr>
          <w:p>
            <w:pPr>
              <w:pStyle w:val="TableParagraph"/>
              <w:spacing w:before="8"/>
              <w:ind w:left="344"/>
              <w:rPr>
                <w:b/>
                <w:sz w:val="24"/>
              </w:rPr>
            </w:pPr>
            <w:r>
              <w:rPr>
                <w:b/>
                <w:sz w:val="24"/>
              </w:rPr>
              <w:t>Symptômes, maladies</w:t>
            </w:r>
          </w:p>
        </w:tc>
        <w:tc>
          <w:tcPr>
            <w:tcW w:w="2836" w:type="dxa"/>
          </w:tcPr>
          <w:p>
            <w:pPr>
              <w:pStyle w:val="TableParagraph"/>
              <w:spacing w:before="8"/>
              <w:ind w:left="101"/>
              <w:rPr>
                <w:b/>
                <w:sz w:val="24"/>
              </w:rPr>
            </w:pPr>
            <w:r>
              <w:rPr>
                <w:b/>
                <w:sz w:val="24"/>
              </w:rPr>
              <w:t>Voies de contamination</w:t>
            </w:r>
          </w:p>
          <w:p>
            <w:pPr>
              <w:pStyle w:val="TableParagraph"/>
              <w:spacing w:before="140"/>
              <w:ind w:left="101"/>
              <w:rPr>
                <w:b/>
                <w:sz w:val="24"/>
              </w:rPr>
            </w:pPr>
            <w:r>
              <w:rPr>
                <w:b/>
                <w:sz w:val="24"/>
              </w:rPr>
              <w:t>Principales</w:t>
            </w:r>
          </w:p>
        </w:tc>
      </w:tr>
      <w:tr>
        <w:trPr>
          <w:trHeight w:val="654" w:hRule="atLeast"/>
        </w:trPr>
        <w:tc>
          <w:tcPr>
            <w:tcW w:w="2805" w:type="dxa"/>
          </w:tcPr>
          <w:p>
            <w:pPr>
              <w:pStyle w:val="TableParagraph"/>
              <w:spacing w:before="12"/>
              <w:rPr>
                <w:b/>
                <w:i/>
                <w:sz w:val="24"/>
              </w:rPr>
            </w:pPr>
            <w:r>
              <w:rPr>
                <w:b/>
                <w:i/>
                <w:sz w:val="24"/>
              </w:rPr>
              <w:t>Entamoebahistolytica</w:t>
            </w:r>
          </w:p>
        </w:tc>
        <w:tc>
          <w:tcPr>
            <w:tcW w:w="3117" w:type="dxa"/>
          </w:tcPr>
          <w:p>
            <w:pPr>
              <w:pStyle w:val="TableParagraph"/>
              <w:spacing w:before="8"/>
              <w:ind w:left="104"/>
              <w:rPr>
                <w:sz w:val="24"/>
              </w:rPr>
            </w:pPr>
            <w:r>
              <w:rPr>
                <w:sz w:val="24"/>
              </w:rPr>
              <w:t>Dysenterie amibienne.</w:t>
            </w:r>
          </w:p>
        </w:tc>
        <w:tc>
          <w:tcPr>
            <w:tcW w:w="2836" w:type="dxa"/>
          </w:tcPr>
          <w:p>
            <w:pPr>
              <w:pStyle w:val="TableParagraph"/>
              <w:spacing w:before="8"/>
              <w:ind w:left="101"/>
              <w:rPr>
                <w:sz w:val="24"/>
              </w:rPr>
            </w:pPr>
            <w:r>
              <w:rPr>
                <w:sz w:val="24"/>
              </w:rPr>
              <w:t>Ingestion</w:t>
            </w:r>
          </w:p>
        </w:tc>
      </w:tr>
      <w:tr>
        <w:trPr>
          <w:trHeight w:val="653" w:hRule="atLeast"/>
        </w:trPr>
        <w:tc>
          <w:tcPr>
            <w:tcW w:w="2805" w:type="dxa"/>
          </w:tcPr>
          <w:p>
            <w:pPr>
              <w:pStyle w:val="TableParagraph"/>
              <w:spacing w:before="11"/>
              <w:rPr>
                <w:b/>
                <w:i/>
                <w:sz w:val="24"/>
              </w:rPr>
            </w:pPr>
            <w:r>
              <w:rPr>
                <w:b/>
                <w:i/>
                <w:sz w:val="24"/>
              </w:rPr>
              <w:t>Giardia lamblia</w:t>
            </w:r>
          </w:p>
        </w:tc>
        <w:tc>
          <w:tcPr>
            <w:tcW w:w="3117" w:type="dxa"/>
          </w:tcPr>
          <w:p>
            <w:pPr>
              <w:pStyle w:val="TableParagraph"/>
              <w:spacing w:before="7"/>
              <w:ind w:left="104"/>
              <w:rPr>
                <w:sz w:val="24"/>
              </w:rPr>
            </w:pPr>
            <w:r>
              <w:rPr>
                <w:sz w:val="24"/>
              </w:rPr>
              <w:t>Diarrhée, malabsorption.</w:t>
            </w:r>
          </w:p>
        </w:tc>
        <w:tc>
          <w:tcPr>
            <w:tcW w:w="2836" w:type="dxa"/>
          </w:tcPr>
          <w:p>
            <w:pPr>
              <w:pStyle w:val="TableParagraph"/>
              <w:spacing w:before="7"/>
              <w:ind w:left="101"/>
              <w:rPr>
                <w:sz w:val="24"/>
              </w:rPr>
            </w:pPr>
            <w:r>
              <w:rPr>
                <w:sz w:val="24"/>
              </w:rPr>
              <w:t>Ingestion</w:t>
            </w:r>
          </w:p>
        </w:tc>
      </w:tr>
      <w:tr>
        <w:trPr>
          <w:trHeight w:val="830" w:hRule="atLeast"/>
        </w:trPr>
        <w:tc>
          <w:tcPr>
            <w:tcW w:w="2805" w:type="dxa"/>
          </w:tcPr>
          <w:p>
            <w:pPr>
              <w:pStyle w:val="TableParagraph"/>
              <w:spacing w:before="11"/>
              <w:rPr>
                <w:b/>
                <w:i/>
                <w:sz w:val="24"/>
              </w:rPr>
            </w:pPr>
            <w:r>
              <w:rPr>
                <w:b/>
                <w:i/>
                <w:sz w:val="24"/>
              </w:rPr>
              <w:t>Balantidium coli</w:t>
            </w:r>
          </w:p>
        </w:tc>
        <w:tc>
          <w:tcPr>
            <w:tcW w:w="3117" w:type="dxa"/>
          </w:tcPr>
          <w:p>
            <w:pPr>
              <w:pStyle w:val="TableParagraph"/>
              <w:spacing w:before="7"/>
              <w:ind w:left="104"/>
              <w:rPr>
                <w:sz w:val="24"/>
              </w:rPr>
            </w:pPr>
            <w:r>
              <w:rPr>
                <w:sz w:val="24"/>
              </w:rPr>
              <w:t>Diarrhée bénigne, ulcère du</w:t>
            </w:r>
          </w:p>
          <w:p>
            <w:pPr>
              <w:pStyle w:val="TableParagraph"/>
              <w:spacing w:before="136"/>
              <w:ind w:left="104"/>
              <w:rPr>
                <w:sz w:val="24"/>
              </w:rPr>
            </w:pPr>
            <w:r>
              <w:rPr>
                <w:sz w:val="24"/>
              </w:rPr>
              <w:t>colon.</w:t>
            </w:r>
          </w:p>
        </w:tc>
        <w:tc>
          <w:tcPr>
            <w:tcW w:w="2836" w:type="dxa"/>
          </w:tcPr>
          <w:p>
            <w:pPr>
              <w:pStyle w:val="TableParagraph"/>
              <w:spacing w:before="7"/>
              <w:ind w:left="101"/>
              <w:rPr>
                <w:sz w:val="24"/>
              </w:rPr>
            </w:pPr>
            <w:r>
              <w:rPr>
                <w:sz w:val="24"/>
              </w:rPr>
              <w:t>Ingestion</w:t>
            </w:r>
          </w:p>
        </w:tc>
      </w:tr>
      <w:tr>
        <w:trPr>
          <w:trHeight w:val="654" w:hRule="atLeast"/>
        </w:trPr>
        <w:tc>
          <w:tcPr>
            <w:tcW w:w="2805" w:type="dxa"/>
          </w:tcPr>
          <w:p>
            <w:pPr>
              <w:pStyle w:val="TableParagraph"/>
              <w:spacing w:before="7"/>
              <w:rPr>
                <w:b/>
                <w:i/>
                <w:sz w:val="24"/>
              </w:rPr>
            </w:pPr>
            <w:r>
              <w:rPr>
                <w:b/>
                <w:i/>
                <w:sz w:val="24"/>
              </w:rPr>
              <w:t>Cryptosporidium</w:t>
            </w:r>
          </w:p>
        </w:tc>
        <w:tc>
          <w:tcPr>
            <w:tcW w:w="3117" w:type="dxa"/>
          </w:tcPr>
          <w:p>
            <w:pPr>
              <w:pStyle w:val="TableParagraph"/>
              <w:spacing w:before="3"/>
              <w:ind w:left="104"/>
              <w:rPr>
                <w:sz w:val="24"/>
              </w:rPr>
            </w:pPr>
            <w:r>
              <w:rPr>
                <w:sz w:val="24"/>
              </w:rPr>
              <w:t>Diarrhée.</w:t>
            </w:r>
          </w:p>
        </w:tc>
        <w:tc>
          <w:tcPr>
            <w:tcW w:w="2836" w:type="dxa"/>
          </w:tcPr>
          <w:p>
            <w:pPr>
              <w:pStyle w:val="TableParagraph"/>
              <w:spacing w:before="3"/>
              <w:ind w:left="101"/>
              <w:rPr>
                <w:sz w:val="24"/>
              </w:rPr>
            </w:pPr>
            <w:r>
              <w:rPr>
                <w:sz w:val="24"/>
              </w:rPr>
              <w:t>Ingestion</w:t>
            </w:r>
          </w:p>
        </w:tc>
      </w:tr>
      <w:tr>
        <w:trPr>
          <w:trHeight w:val="826" w:hRule="atLeast"/>
        </w:trPr>
        <w:tc>
          <w:tcPr>
            <w:tcW w:w="2805" w:type="dxa"/>
          </w:tcPr>
          <w:p>
            <w:pPr>
              <w:pStyle w:val="TableParagraph"/>
              <w:spacing w:before="6"/>
              <w:rPr>
                <w:b/>
                <w:i/>
                <w:sz w:val="24"/>
              </w:rPr>
            </w:pPr>
            <w:r>
              <w:rPr>
                <w:b/>
                <w:i/>
                <w:sz w:val="24"/>
              </w:rPr>
              <w:t>Toxoplasmagondii</w:t>
            </w:r>
          </w:p>
        </w:tc>
        <w:tc>
          <w:tcPr>
            <w:tcW w:w="3117" w:type="dxa"/>
          </w:tcPr>
          <w:p>
            <w:pPr>
              <w:pStyle w:val="TableParagraph"/>
              <w:spacing w:before="2"/>
              <w:ind w:left="104"/>
              <w:rPr>
                <w:sz w:val="24"/>
              </w:rPr>
            </w:pPr>
            <w:r>
              <w:rPr>
                <w:sz w:val="24"/>
              </w:rPr>
              <w:t>Toxoplasmose : ganglions,</w:t>
            </w:r>
          </w:p>
          <w:p>
            <w:pPr>
              <w:pStyle w:val="TableParagraph"/>
              <w:spacing w:before="140"/>
              <w:ind w:left="104"/>
              <w:rPr>
                <w:sz w:val="24"/>
              </w:rPr>
            </w:pPr>
            <w:r>
              <w:rPr>
                <w:sz w:val="24"/>
              </w:rPr>
              <w:t>faible fièvre.</w:t>
            </w:r>
          </w:p>
        </w:tc>
        <w:tc>
          <w:tcPr>
            <w:tcW w:w="2836" w:type="dxa"/>
          </w:tcPr>
          <w:p>
            <w:pPr>
              <w:pStyle w:val="TableParagraph"/>
              <w:spacing w:before="2"/>
              <w:ind w:left="101"/>
              <w:rPr>
                <w:sz w:val="24"/>
              </w:rPr>
            </w:pPr>
            <w:r>
              <w:rPr>
                <w:sz w:val="24"/>
              </w:rPr>
              <w:t>Ingestion/inhalation</w:t>
            </w:r>
          </w:p>
        </w:tc>
      </w:tr>
      <w:tr>
        <w:trPr>
          <w:trHeight w:val="830" w:hRule="atLeast"/>
        </w:trPr>
        <w:tc>
          <w:tcPr>
            <w:tcW w:w="2805" w:type="dxa"/>
          </w:tcPr>
          <w:p>
            <w:pPr>
              <w:pStyle w:val="TableParagraph"/>
              <w:spacing w:before="9"/>
              <w:rPr>
                <w:b/>
                <w:i/>
                <w:sz w:val="24"/>
              </w:rPr>
            </w:pPr>
            <w:r>
              <w:rPr>
                <w:b/>
                <w:i/>
                <w:sz w:val="24"/>
              </w:rPr>
              <w:t>Cyclospora</w:t>
            </w:r>
          </w:p>
        </w:tc>
        <w:tc>
          <w:tcPr>
            <w:tcW w:w="3117" w:type="dxa"/>
          </w:tcPr>
          <w:p>
            <w:pPr>
              <w:pStyle w:val="TableParagraph"/>
              <w:spacing w:before="5"/>
              <w:ind w:left="104"/>
              <w:rPr>
                <w:sz w:val="24"/>
              </w:rPr>
            </w:pPr>
            <w:r>
              <w:rPr>
                <w:sz w:val="24"/>
              </w:rPr>
              <w:t>Diarrhée, légère fièvre, perte</w:t>
            </w:r>
          </w:p>
          <w:p>
            <w:pPr>
              <w:pStyle w:val="TableParagraph"/>
              <w:spacing w:before="136"/>
              <w:ind w:left="104"/>
              <w:rPr>
                <w:sz w:val="24"/>
              </w:rPr>
            </w:pPr>
            <w:r>
              <w:rPr>
                <w:sz w:val="24"/>
              </w:rPr>
              <w:t>de poids.</w:t>
            </w:r>
          </w:p>
        </w:tc>
        <w:tc>
          <w:tcPr>
            <w:tcW w:w="2836" w:type="dxa"/>
          </w:tcPr>
          <w:p>
            <w:pPr>
              <w:pStyle w:val="TableParagraph"/>
              <w:spacing w:before="5"/>
              <w:ind w:left="101"/>
              <w:rPr>
                <w:sz w:val="24"/>
              </w:rPr>
            </w:pPr>
            <w:r>
              <w:rPr>
                <w:sz w:val="24"/>
              </w:rPr>
              <w:t>Ingestion</w:t>
            </w:r>
          </w:p>
        </w:tc>
      </w:tr>
      <w:tr>
        <w:trPr>
          <w:trHeight w:val="653" w:hRule="atLeast"/>
        </w:trPr>
        <w:tc>
          <w:tcPr>
            <w:tcW w:w="2805" w:type="dxa"/>
          </w:tcPr>
          <w:p>
            <w:pPr>
              <w:pStyle w:val="TableParagraph"/>
              <w:spacing w:before="5"/>
              <w:rPr>
                <w:b/>
                <w:i/>
                <w:sz w:val="24"/>
              </w:rPr>
            </w:pPr>
            <w:r>
              <w:rPr>
                <w:b/>
                <w:i/>
                <w:sz w:val="24"/>
              </w:rPr>
              <w:t>Microsporidium</w:t>
            </w:r>
          </w:p>
        </w:tc>
        <w:tc>
          <w:tcPr>
            <w:tcW w:w="3117" w:type="dxa"/>
          </w:tcPr>
          <w:p>
            <w:pPr>
              <w:pStyle w:val="TableParagraph"/>
              <w:spacing w:before="1"/>
              <w:ind w:left="104"/>
              <w:rPr>
                <w:sz w:val="24"/>
              </w:rPr>
            </w:pPr>
            <w:r>
              <w:rPr>
                <w:sz w:val="24"/>
              </w:rPr>
              <w:t>Diarrhée.</w:t>
            </w:r>
          </w:p>
        </w:tc>
        <w:tc>
          <w:tcPr>
            <w:tcW w:w="2836" w:type="dxa"/>
          </w:tcPr>
          <w:p>
            <w:pPr>
              <w:pStyle w:val="TableParagraph"/>
              <w:spacing w:before="1"/>
              <w:ind w:left="101"/>
              <w:rPr>
                <w:sz w:val="24"/>
              </w:rPr>
            </w:pPr>
            <w:r>
              <w:rPr>
                <w:sz w:val="24"/>
              </w:rPr>
              <w:t>Ingestion</w:t>
            </w:r>
          </w:p>
        </w:tc>
      </w:tr>
    </w:tbl>
    <w:p>
      <w:pPr>
        <w:pStyle w:val="BodyText"/>
        <w:rPr>
          <w:sz w:val="26"/>
        </w:rPr>
      </w:pPr>
    </w:p>
    <w:p>
      <w:pPr>
        <w:pStyle w:val="BodyText"/>
        <w:rPr>
          <w:sz w:val="28"/>
        </w:rPr>
      </w:pPr>
    </w:p>
    <w:p>
      <w:pPr>
        <w:pStyle w:val="Heading4"/>
        <w:numPr>
          <w:ilvl w:val="2"/>
          <w:numId w:val="15"/>
        </w:numPr>
        <w:tabs>
          <w:tab w:pos="1248" w:val="left" w:leader="none"/>
        </w:tabs>
        <w:spacing w:line="240" w:lineRule="auto" w:before="0" w:after="0"/>
        <w:ind w:left="1247" w:right="0" w:hanging="572"/>
        <w:jc w:val="left"/>
      </w:pPr>
      <w:bookmarkStart w:name="_TOC_250064" w:id="17"/>
      <w:r>
        <w:rPr/>
        <w:t>Les virus</w:t>
      </w:r>
      <w:r>
        <w:rPr>
          <w:spacing w:val="-2"/>
        </w:rPr>
        <w:t> </w:t>
      </w:r>
      <w:bookmarkEnd w:id="17"/>
      <w:r>
        <w:rPr/>
        <w:t>:</w:t>
      </w:r>
    </w:p>
    <w:p>
      <w:pPr>
        <w:pStyle w:val="BodyText"/>
        <w:spacing w:before="10"/>
        <w:rPr>
          <w:b/>
          <w:sz w:val="28"/>
        </w:rPr>
      </w:pPr>
    </w:p>
    <w:p>
      <w:pPr>
        <w:pStyle w:val="BodyText"/>
        <w:spacing w:line="360" w:lineRule="auto"/>
        <w:ind w:left="675" w:right="1422" w:firstLine="707"/>
        <w:jc w:val="both"/>
      </w:pPr>
      <w:r>
        <w:rPr/>
        <w:t>Les virus sont abondants dans le milieu aquatique (tableau 04). Plus de 140 virus pathogènes peuvent être éliminés dans les fèces humains regroupés sous le nom de virus entériques, ils appartiennent à plusieurs familles et genres (Schwartzbrod, 2000). L’infection se produit par l’ingestion dans la majorité des cas. (Baumontet</w:t>
      </w:r>
      <w:r>
        <w:rPr>
          <w:i/>
        </w:rPr>
        <w:t>al</w:t>
      </w:r>
      <w:r>
        <w:rPr/>
        <w:t>, 2004).</w:t>
      </w:r>
    </w:p>
    <w:p>
      <w:pPr>
        <w:spacing w:after="0" w:line="360" w:lineRule="auto"/>
        <w:jc w:val="both"/>
        <w:sectPr>
          <w:pgSz w:w="11900" w:h="16840"/>
          <w:pgMar w:header="727" w:footer="1061" w:top="1180" w:bottom="1260" w:left="740" w:right="0"/>
        </w:sectPr>
      </w:pPr>
    </w:p>
    <w:p>
      <w:pPr>
        <w:pStyle w:val="BodyText"/>
        <w:rPr>
          <w:sz w:val="16"/>
        </w:rPr>
      </w:pPr>
    </w:p>
    <w:p>
      <w:pPr>
        <w:spacing w:before="90"/>
        <w:ind w:left="675" w:right="0" w:firstLine="0"/>
        <w:jc w:val="left"/>
        <w:rPr>
          <w:sz w:val="24"/>
        </w:rPr>
      </w:pPr>
      <w:r>
        <w:rPr>
          <w:b/>
          <w:sz w:val="24"/>
        </w:rPr>
        <w:t>Tableau 04 : </w:t>
      </w:r>
      <w:r>
        <w:rPr>
          <w:sz w:val="24"/>
        </w:rPr>
        <w:t>Les virus dans les eaux.(Faby et </w:t>
      </w:r>
      <w:r>
        <w:rPr>
          <w:i/>
          <w:sz w:val="24"/>
        </w:rPr>
        <w:t>al</w:t>
      </w:r>
      <w:r>
        <w:rPr>
          <w:sz w:val="24"/>
        </w:rPr>
        <w:t>, 1997).</w:t>
      </w:r>
    </w:p>
    <w:p>
      <w:pPr>
        <w:pStyle w:val="BodyText"/>
        <w:rPr>
          <w:sz w:val="29"/>
        </w:rPr>
      </w:pPr>
    </w:p>
    <w:tbl>
      <w:tblPr>
        <w:tblW w:w="0" w:type="auto"/>
        <w:jc w:val="left"/>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37"/>
        <w:gridCol w:w="3241"/>
        <w:gridCol w:w="2849"/>
      </w:tblGrid>
      <w:tr>
        <w:trPr>
          <w:trHeight w:val="825" w:hRule="atLeast"/>
        </w:trPr>
        <w:tc>
          <w:tcPr>
            <w:tcW w:w="3237" w:type="dxa"/>
          </w:tcPr>
          <w:p>
            <w:pPr>
              <w:pStyle w:val="TableParagraph"/>
              <w:spacing w:before="8"/>
              <w:rPr>
                <w:b/>
                <w:sz w:val="24"/>
              </w:rPr>
            </w:pPr>
            <w:r>
              <w:rPr>
                <w:b/>
                <w:sz w:val="24"/>
              </w:rPr>
              <w:t>Agent pathogène</w:t>
            </w:r>
          </w:p>
        </w:tc>
        <w:tc>
          <w:tcPr>
            <w:tcW w:w="3241" w:type="dxa"/>
          </w:tcPr>
          <w:p>
            <w:pPr>
              <w:pStyle w:val="TableParagraph"/>
              <w:spacing w:before="8"/>
              <w:ind w:left="103"/>
              <w:rPr>
                <w:b/>
                <w:sz w:val="24"/>
              </w:rPr>
            </w:pPr>
            <w:r>
              <w:rPr>
                <w:b/>
                <w:sz w:val="24"/>
              </w:rPr>
              <w:t>Symptômes, maladies</w:t>
            </w:r>
          </w:p>
        </w:tc>
        <w:tc>
          <w:tcPr>
            <w:tcW w:w="2849" w:type="dxa"/>
          </w:tcPr>
          <w:p>
            <w:pPr>
              <w:pStyle w:val="TableParagraph"/>
              <w:spacing w:before="8"/>
              <w:ind w:left="101"/>
              <w:rPr>
                <w:b/>
                <w:sz w:val="24"/>
              </w:rPr>
            </w:pPr>
            <w:r>
              <w:rPr>
                <w:b/>
                <w:sz w:val="24"/>
              </w:rPr>
              <w:t>Voies de contamination</w:t>
            </w:r>
          </w:p>
          <w:p>
            <w:pPr>
              <w:pStyle w:val="TableParagraph"/>
              <w:spacing w:before="140"/>
              <w:ind w:left="101"/>
              <w:rPr>
                <w:b/>
                <w:sz w:val="24"/>
              </w:rPr>
            </w:pPr>
            <w:r>
              <w:rPr>
                <w:b/>
                <w:sz w:val="24"/>
              </w:rPr>
              <w:t>Principales</w:t>
            </w:r>
          </w:p>
        </w:tc>
      </w:tr>
      <w:tr>
        <w:trPr>
          <w:trHeight w:val="686" w:hRule="atLeast"/>
        </w:trPr>
        <w:tc>
          <w:tcPr>
            <w:tcW w:w="3237" w:type="dxa"/>
          </w:tcPr>
          <w:p>
            <w:pPr>
              <w:pStyle w:val="TableParagraph"/>
              <w:spacing w:before="12"/>
              <w:rPr>
                <w:b/>
                <w:sz w:val="24"/>
              </w:rPr>
            </w:pPr>
            <w:r>
              <w:rPr>
                <w:b/>
                <w:sz w:val="24"/>
              </w:rPr>
              <w:t>Virus de l’hépatite A</w:t>
            </w:r>
          </w:p>
        </w:tc>
        <w:tc>
          <w:tcPr>
            <w:tcW w:w="3241" w:type="dxa"/>
          </w:tcPr>
          <w:p>
            <w:pPr>
              <w:pStyle w:val="TableParagraph"/>
              <w:spacing w:before="8"/>
              <w:ind w:left="103"/>
              <w:rPr>
                <w:sz w:val="24"/>
              </w:rPr>
            </w:pPr>
            <w:r>
              <w:rPr>
                <w:sz w:val="24"/>
              </w:rPr>
              <w:t>Hépatite A</w:t>
            </w:r>
          </w:p>
        </w:tc>
        <w:tc>
          <w:tcPr>
            <w:tcW w:w="2849" w:type="dxa"/>
          </w:tcPr>
          <w:p>
            <w:pPr>
              <w:pStyle w:val="TableParagraph"/>
              <w:spacing w:before="8"/>
              <w:ind w:left="101"/>
              <w:rPr>
                <w:sz w:val="24"/>
              </w:rPr>
            </w:pPr>
            <w:r>
              <w:rPr>
                <w:sz w:val="24"/>
              </w:rPr>
              <w:t>Ingestion</w:t>
            </w:r>
          </w:p>
        </w:tc>
      </w:tr>
      <w:tr>
        <w:trPr>
          <w:trHeight w:val="682" w:hRule="atLeast"/>
        </w:trPr>
        <w:tc>
          <w:tcPr>
            <w:tcW w:w="3237" w:type="dxa"/>
          </w:tcPr>
          <w:p>
            <w:pPr>
              <w:pStyle w:val="TableParagraph"/>
              <w:spacing w:before="7"/>
              <w:rPr>
                <w:b/>
                <w:sz w:val="24"/>
              </w:rPr>
            </w:pPr>
            <w:r>
              <w:rPr>
                <w:b/>
                <w:sz w:val="24"/>
              </w:rPr>
              <w:t>Virus de l’hépatite E</w:t>
            </w:r>
          </w:p>
        </w:tc>
        <w:tc>
          <w:tcPr>
            <w:tcW w:w="3241" w:type="dxa"/>
          </w:tcPr>
          <w:p>
            <w:pPr>
              <w:pStyle w:val="TableParagraph"/>
              <w:spacing w:before="3"/>
              <w:ind w:left="103"/>
              <w:rPr>
                <w:sz w:val="24"/>
              </w:rPr>
            </w:pPr>
            <w:r>
              <w:rPr>
                <w:sz w:val="24"/>
              </w:rPr>
              <w:t>Hépatite E</w:t>
            </w:r>
          </w:p>
        </w:tc>
        <w:tc>
          <w:tcPr>
            <w:tcW w:w="2849" w:type="dxa"/>
          </w:tcPr>
          <w:p>
            <w:pPr>
              <w:pStyle w:val="TableParagraph"/>
              <w:spacing w:before="3"/>
              <w:ind w:left="101"/>
              <w:rPr>
                <w:sz w:val="24"/>
              </w:rPr>
            </w:pPr>
            <w:r>
              <w:rPr>
                <w:sz w:val="24"/>
              </w:rPr>
              <w:t>Ingestion</w:t>
            </w:r>
          </w:p>
        </w:tc>
      </w:tr>
      <w:tr>
        <w:trPr>
          <w:trHeight w:val="686" w:hRule="atLeast"/>
        </w:trPr>
        <w:tc>
          <w:tcPr>
            <w:tcW w:w="3237" w:type="dxa"/>
          </w:tcPr>
          <w:p>
            <w:pPr>
              <w:pStyle w:val="TableParagraph"/>
              <w:spacing w:before="11"/>
              <w:rPr>
                <w:b/>
                <w:sz w:val="24"/>
              </w:rPr>
            </w:pPr>
            <w:r>
              <w:rPr>
                <w:b/>
                <w:sz w:val="24"/>
              </w:rPr>
              <w:t>Rotavirus</w:t>
            </w:r>
          </w:p>
        </w:tc>
        <w:tc>
          <w:tcPr>
            <w:tcW w:w="3241" w:type="dxa"/>
          </w:tcPr>
          <w:p>
            <w:pPr>
              <w:pStyle w:val="TableParagraph"/>
              <w:spacing w:before="7"/>
              <w:ind w:left="103"/>
              <w:rPr>
                <w:sz w:val="24"/>
              </w:rPr>
            </w:pPr>
            <w:r>
              <w:rPr>
                <w:sz w:val="24"/>
              </w:rPr>
              <w:t>Vomissement, diarrhée</w:t>
            </w:r>
          </w:p>
        </w:tc>
        <w:tc>
          <w:tcPr>
            <w:tcW w:w="2849" w:type="dxa"/>
          </w:tcPr>
          <w:p>
            <w:pPr>
              <w:pStyle w:val="TableParagraph"/>
              <w:spacing w:before="7"/>
              <w:ind w:left="101"/>
              <w:rPr>
                <w:sz w:val="24"/>
              </w:rPr>
            </w:pPr>
            <w:r>
              <w:rPr>
                <w:sz w:val="24"/>
              </w:rPr>
              <w:t>Ingestion</w:t>
            </w:r>
          </w:p>
        </w:tc>
      </w:tr>
      <w:tr>
        <w:trPr>
          <w:trHeight w:val="682" w:hRule="atLeast"/>
        </w:trPr>
        <w:tc>
          <w:tcPr>
            <w:tcW w:w="3237" w:type="dxa"/>
          </w:tcPr>
          <w:p>
            <w:pPr>
              <w:pStyle w:val="TableParagraph"/>
              <w:spacing w:before="7"/>
              <w:rPr>
                <w:b/>
                <w:sz w:val="24"/>
              </w:rPr>
            </w:pPr>
            <w:r>
              <w:rPr>
                <w:b/>
                <w:sz w:val="24"/>
              </w:rPr>
              <w:t>Virus de Norwalk</w:t>
            </w:r>
          </w:p>
        </w:tc>
        <w:tc>
          <w:tcPr>
            <w:tcW w:w="3241" w:type="dxa"/>
          </w:tcPr>
          <w:p>
            <w:pPr>
              <w:pStyle w:val="TableParagraph"/>
              <w:spacing w:before="3"/>
              <w:ind w:left="103"/>
              <w:rPr>
                <w:sz w:val="24"/>
              </w:rPr>
            </w:pPr>
            <w:r>
              <w:rPr>
                <w:sz w:val="24"/>
              </w:rPr>
              <w:t>Vomissement, diarrhée</w:t>
            </w:r>
          </w:p>
        </w:tc>
        <w:tc>
          <w:tcPr>
            <w:tcW w:w="2849" w:type="dxa"/>
          </w:tcPr>
          <w:p>
            <w:pPr>
              <w:pStyle w:val="TableParagraph"/>
              <w:spacing w:before="3"/>
              <w:ind w:left="101"/>
              <w:rPr>
                <w:sz w:val="24"/>
              </w:rPr>
            </w:pPr>
            <w:r>
              <w:rPr>
                <w:sz w:val="24"/>
              </w:rPr>
              <w:t>Ingestion</w:t>
            </w:r>
          </w:p>
        </w:tc>
      </w:tr>
      <w:tr>
        <w:trPr>
          <w:trHeight w:val="1242" w:hRule="atLeast"/>
        </w:trPr>
        <w:tc>
          <w:tcPr>
            <w:tcW w:w="3237" w:type="dxa"/>
          </w:tcPr>
          <w:p>
            <w:pPr>
              <w:pStyle w:val="TableParagraph"/>
              <w:spacing w:before="10"/>
              <w:rPr>
                <w:b/>
                <w:sz w:val="24"/>
              </w:rPr>
            </w:pPr>
            <w:r>
              <w:rPr>
                <w:b/>
                <w:sz w:val="24"/>
              </w:rPr>
              <w:t>Adénovirus</w:t>
            </w:r>
          </w:p>
        </w:tc>
        <w:tc>
          <w:tcPr>
            <w:tcW w:w="3241" w:type="dxa"/>
          </w:tcPr>
          <w:p>
            <w:pPr>
              <w:pStyle w:val="TableParagraph"/>
              <w:spacing w:line="357" w:lineRule="auto" w:before="6"/>
              <w:ind w:left="103" w:right="408"/>
              <w:rPr>
                <w:sz w:val="24"/>
              </w:rPr>
            </w:pPr>
            <w:r>
              <w:rPr>
                <w:sz w:val="24"/>
              </w:rPr>
              <w:t>Maladie respiratoire, conjonctivite, vomissement,</w:t>
            </w:r>
          </w:p>
          <w:p>
            <w:pPr>
              <w:pStyle w:val="TableParagraph"/>
              <w:spacing w:before="5"/>
              <w:ind w:left="103"/>
              <w:rPr>
                <w:sz w:val="24"/>
              </w:rPr>
            </w:pPr>
            <w:r>
              <w:rPr>
                <w:sz w:val="24"/>
              </w:rPr>
              <w:t>diarrhée</w:t>
            </w:r>
          </w:p>
        </w:tc>
        <w:tc>
          <w:tcPr>
            <w:tcW w:w="2849" w:type="dxa"/>
          </w:tcPr>
          <w:p>
            <w:pPr>
              <w:pStyle w:val="TableParagraph"/>
              <w:spacing w:before="6"/>
              <w:ind w:left="101"/>
              <w:rPr>
                <w:sz w:val="24"/>
              </w:rPr>
            </w:pPr>
            <w:r>
              <w:rPr>
                <w:sz w:val="24"/>
              </w:rPr>
              <w:t>Ingestion</w:t>
            </w:r>
          </w:p>
        </w:tc>
      </w:tr>
      <w:tr>
        <w:trPr>
          <w:trHeight w:val="686" w:hRule="atLeast"/>
        </w:trPr>
        <w:tc>
          <w:tcPr>
            <w:tcW w:w="3237" w:type="dxa"/>
          </w:tcPr>
          <w:p>
            <w:pPr>
              <w:pStyle w:val="TableParagraph"/>
              <w:spacing w:before="9"/>
              <w:rPr>
                <w:b/>
                <w:sz w:val="24"/>
              </w:rPr>
            </w:pPr>
            <w:r>
              <w:rPr>
                <w:b/>
                <w:sz w:val="24"/>
              </w:rPr>
              <w:t>Astrovirus</w:t>
            </w:r>
          </w:p>
        </w:tc>
        <w:tc>
          <w:tcPr>
            <w:tcW w:w="3241" w:type="dxa"/>
          </w:tcPr>
          <w:p>
            <w:pPr>
              <w:pStyle w:val="TableParagraph"/>
              <w:spacing w:before="5"/>
              <w:ind w:left="103"/>
              <w:rPr>
                <w:sz w:val="24"/>
              </w:rPr>
            </w:pPr>
            <w:r>
              <w:rPr>
                <w:sz w:val="24"/>
              </w:rPr>
              <w:t>Vomissement, diarrhée</w:t>
            </w:r>
          </w:p>
        </w:tc>
        <w:tc>
          <w:tcPr>
            <w:tcW w:w="2849" w:type="dxa"/>
          </w:tcPr>
          <w:p>
            <w:pPr>
              <w:pStyle w:val="TableParagraph"/>
              <w:spacing w:before="5"/>
              <w:ind w:left="101"/>
              <w:rPr>
                <w:sz w:val="24"/>
              </w:rPr>
            </w:pPr>
            <w:r>
              <w:rPr>
                <w:sz w:val="24"/>
              </w:rPr>
              <w:t>Ingestion</w:t>
            </w:r>
          </w:p>
        </w:tc>
      </w:tr>
      <w:tr>
        <w:trPr>
          <w:trHeight w:val="718" w:hRule="atLeast"/>
        </w:trPr>
        <w:tc>
          <w:tcPr>
            <w:tcW w:w="3237" w:type="dxa"/>
          </w:tcPr>
          <w:p>
            <w:pPr>
              <w:pStyle w:val="TableParagraph"/>
              <w:spacing w:before="5"/>
              <w:rPr>
                <w:b/>
                <w:sz w:val="24"/>
              </w:rPr>
            </w:pPr>
            <w:r>
              <w:rPr>
                <w:b/>
                <w:sz w:val="24"/>
              </w:rPr>
              <w:t>Calicivirus</w:t>
            </w:r>
          </w:p>
        </w:tc>
        <w:tc>
          <w:tcPr>
            <w:tcW w:w="3241" w:type="dxa"/>
          </w:tcPr>
          <w:p>
            <w:pPr>
              <w:pStyle w:val="TableParagraph"/>
              <w:spacing w:before="1"/>
              <w:ind w:left="103"/>
              <w:rPr>
                <w:sz w:val="24"/>
              </w:rPr>
            </w:pPr>
            <w:r>
              <w:rPr>
                <w:sz w:val="24"/>
              </w:rPr>
              <w:t>Vomissement, diarrhée</w:t>
            </w:r>
          </w:p>
        </w:tc>
        <w:tc>
          <w:tcPr>
            <w:tcW w:w="2849" w:type="dxa"/>
          </w:tcPr>
          <w:p>
            <w:pPr>
              <w:pStyle w:val="TableParagraph"/>
              <w:spacing w:before="1"/>
              <w:ind w:left="101"/>
              <w:rPr>
                <w:sz w:val="24"/>
              </w:rPr>
            </w:pPr>
            <w:r>
              <w:rPr>
                <w:sz w:val="24"/>
              </w:rPr>
              <w:t>Ingestion</w:t>
            </w:r>
          </w:p>
        </w:tc>
      </w:tr>
      <w:tr>
        <w:trPr>
          <w:trHeight w:val="718" w:hRule="atLeast"/>
        </w:trPr>
        <w:tc>
          <w:tcPr>
            <w:tcW w:w="3237" w:type="dxa"/>
          </w:tcPr>
          <w:p>
            <w:pPr>
              <w:pStyle w:val="TableParagraph"/>
              <w:spacing w:before="4"/>
              <w:rPr>
                <w:b/>
                <w:sz w:val="24"/>
              </w:rPr>
            </w:pPr>
            <w:r>
              <w:rPr>
                <w:b/>
                <w:sz w:val="24"/>
              </w:rPr>
              <w:t>Coronavirus</w:t>
            </w:r>
          </w:p>
        </w:tc>
        <w:tc>
          <w:tcPr>
            <w:tcW w:w="3241" w:type="dxa"/>
          </w:tcPr>
          <w:p>
            <w:pPr>
              <w:pStyle w:val="TableParagraph"/>
              <w:ind w:left="103"/>
              <w:rPr>
                <w:sz w:val="24"/>
              </w:rPr>
            </w:pPr>
            <w:r>
              <w:rPr>
                <w:sz w:val="24"/>
              </w:rPr>
              <w:t>Vomissement, diarrhée</w:t>
            </w:r>
          </w:p>
        </w:tc>
        <w:tc>
          <w:tcPr>
            <w:tcW w:w="2849" w:type="dxa"/>
          </w:tcPr>
          <w:p>
            <w:pPr>
              <w:pStyle w:val="TableParagraph"/>
              <w:ind w:left="101"/>
              <w:rPr>
                <w:sz w:val="24"/>
              </w:rPr>
            </w:pPr>
            <w:r>
              <w:rPr>
                <w:sz w:val="24"/>
              </w:rPr>
              <w:t>Ingestion/inhibition</w:t>
            </w:r>
          </w:p>
        </w:tc>
      </w:tr>
    </w:tbl>
    <w:p>
      <w:pPr>
        <w:pStyle w:val="BodyText"/>
        <w:rPr>
          <w:sz w:val="26"/>
        </w:rPr>
      </w:pPr>
    </w:p>
    <w:p>
      <w:pPr>
        <w:pStyle w:val="BodyText"/>
        <w:rPr>
          <w:sz w:val="28"/>
        </w:rPr>
      </w:pPr>
    </w:p>
    <w:p>
      <w:pPr>
        <w:pStyle w:val="Heading4"/>
        <w:numPr>
          <w:ilvl w:val="2"/>
          <w:numId w:val="15"/>
        </w:numPr>
        <w:tabs>
          <w:tab w:pos="1248" w:val="left" w:leader="none"/>
        </w:tabs>
        <w:spacing w:line="240" w:lineRule="auto" w:before="0" w:after="0"/>
        <w:ind w:left="1247" w:right="0" w:hanging="572"/>
        <w:jc w:val="left"/>
      </w:pPr>
      <w:bookmarkStart w:name="_TOC_250063" w:id="18"/>
      <w:r>
        <w:rPr/>
        <w:t>Maladies hydriques liées aux éléments chimiques</w:t>
      </w:r>
      <w:r>
        <w:rPr>
          <w:spacing w:val="-8"/>
        </w:rPr>
        <w:t> </w:t>
      </w:r>
      <w:bookmarkEnd w:id="18"/>
      <w:r>
        <w:rPr/>
        <w:t>:</w:t>
      </w:r>
    </w:p>
    <w:p>
      <w:pPr>
        <w:pStyle w:val="BodyText"/>
        <w:spacing w:before="9"/>
        <w:rPr>
          <w:b/>
          <w:sz w:val="28"/>
        </w:rPr>
      </w:pPr>
    </w:p>
    <w:p>
      <w:pPr>
        <w:pStyle w:val="BodyText"/>
        <w:spacing w:line="362" w:lineRule="auto" w:before="1"/>
        <w:ind w:left="675" w:right="1424" w:firstLine="707"/>
        <w:jc w:val="both"/>
      </w:pPr>
      <w:r>
        <w:rPr/>
        <w:t>Ce sont des maladies d’origine chimique dues à un dépassement de la quantité ou de la valeur admise pour certains éléments.</w:t>
      </w:r>
    </w:p>
    <w:p>
      <w:pPr>
        <w:pStyle w:val="BodyText"/>
        <w:spacing w:line="360" w:lineRule="auto" w:before="194"/>
        <w:ind w:left="675" w:right="1414" w:firstLine="707"/>
        <w:jc w:val="both"/>
      </w:pPr>
      <w:r>
        <w:rPr/>
        <w:t>L’eau contient de nombreux oligo-éléments qui sont bénéfiques à faible concentration comme le fer ou le fluor, mais toxiques à plus forte dose pour l’homme. Par contre certains éléments tels que l’arsenic, le cyanure ou le plomb sont dangereux même à faible dose (Tableau 05).</w:t>
      </w:r>
    </w:p>
    <w:p>
      <w:pPr>
        <w:spacing w:after="0" w:line="360" w:lineRule="auto"/>
        <w:jc w:val="both"/>
        <w:sectPr>
          <w:pgSz w:w="11900" w:h="16840"/>
          <w:pgMar w:header="727" w:footer="1061" w:top="1180" w:bottom="1260" w:left="740" w:right="0"/>
        </w:sectPr>
      </w:pPr>
    </w:p>
    <w:p>
      <w:pPr>
        <w:pStyle w:val="BodyText"/>
        <w:rPr>
          <w:sz w:val="16"/>
        </w:rPr>
      </w:pPr>
    </w:p>
    <w:p>
      <w:pPr>
        <w:pStyle w:val="BodyText"/>
        <w:spacing w:before="90"/>
        <w:ind w:left="675"/>
      </w:pPr>
      <w:r>
        <w:rPr>
          <w:b/>
        </w:rPr>
        <w:t>Tableau 05 : </w:t>
      </w:r>
      <w:r>
        <w:rPr/>
        <w:t>Exemples de maladies liées à quelques éléments chimiques. [4].</w:t>
      </w:r>
    </w:p>
    <w:p>
      <w:pPr>
        <w:pStyle w:val="BodyText"/>
        <w:rPr>
          <w:sz w:val="29"/>
        </w:rPr>
      </w:pPr>
    </w:p>
    <w:tbl>
      <w:tblPr>
        <w:tblW w:w="0" w:type="auto"/>
        <w:jc w:val="left"/>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1"/>
        <w:gridCol w:w="4577"/>
      </w:tblGrid>
      <w:tr>
        <w:trPr>
          <w:trHeight w:val="565" w:hRule="atLeast"/>
        </w:trPr>
        <w:tc>
          <w:tcPr>
            <w:tcW w:w="4581" w:type="dxa"/>
          </w:tcPr>
          <w:p>
            <w:pPr>
              <w:pStyle w:val="TableParagraph"/>
              <w:spacing w:before="8"/>
              <w:ind w:left="825"/>
              <w:rPr>
                <w:b/>
                <w:sz w:val="24"/>
              </w:rPr>
            </w:pPr>
            <w:r>
              <w:rPr>
                <w:b/>
                <w:sz w:val="24"/>
              </w:rPr>
              <w:t>Eléments chimiques</w:t>
            </w:r>
          </w:p>
        </w:tc>
        <w:tc>
          <w:tcPr>
            <w:tcW w:w="4577" w:type="dxa"/>
          </w:tcPr>
          <w:p>
            <w:pPr>
              <w:pStyle w:val="TableParagraph"/>
              <w:spacing w:before="8"/>
              <w:ind w:left="810"/>
              <w:rPr>
                <w:b/>
                <w:sz w:val="24"/>
              </w:rPr>
            </w:pPr>
            <w:r>
              <w:rPr>
                <w:b/>
                <w:sz w:val="24"/>
              </w:rPr>
              <w:t>Maladies</w:t>
            </w:r>
          </w:p>
        </w:tc>
      </w:tr>
      <w:tr>
        <w:trPr>
          <w:trHeight w:val="566" w:hRule="atLeast"/>
        </w:trPr>
        <w:tc>
          <w:tcPr>
            <w:tcW w:w="4581" w:type="dxa"/>
          </w:tcPr>
          <w:p>
            <w:pPr>
              <w:pStyle w:val="TableParagraph"/>
              <w:spacing w:before="4"/>
              <w:ind w:left="1309"/>
              <w:rPr>
                <w:sz w:val="24"/>
              </w:rPr>
            </w:pPr>
            <w:r>
              <w:rPr>
                <w:sz w:val="24"/>
              </w:rPr>
              <w:t>Arsenic</w:t>
            </w:r>
          </w:p>
        </w:tc>
        <w:tc>
          <w:tcPr>
            <w:tcW w:w="4577" w:type="dxa"/>
          </w:tcPr>
          <w:p>
            <w:pPr>
              <w:pStyle w:val="TableParagraph"/>
              <w:spacing w:before="4"/>
              <w:ind w:left="810"/>
              <w:rPr>
                <w:sz w:val="24"/>
              </w:rPr>
            </w:pPr>
            <w:r>
              <w:rPr>
                <w:sz w:val="24"/>
              </w:rPr>
              <w:t>Arsenicisme</w:t>
            </w:r>
          </w:p>
        </w:tc>
      </w:tr>
      <w:tr>
        <w:trPr>
          <w:trHeight w:val="538" w:hRule="atLeast"/>
        </w:trPr>
        <w:tc>
          <w:tcPr>
            <w:tcW w:w="4581" w:type="dxa"/>
          </w:tcPr>
          <w:p>
            <w:pPr>
              <w:pStyle w:val="TableParagraph"/>
              <w:spacing w:before="4"/>
              <w:ind w:left="1377"/>
              <w:rPr>
                <w:sz w:val="24"/>
              </w:rPr>
            </w:pPr>
            <w:r>
              <w:rPr>
                <w:sz w:val="24"/>
              </w:rPr>
              <w:t>Fluor</w:t>
            </w:r>
          </w:p>
        </w:tc>
        <w:tc>
          <w:tcPr>
            <w:tcW w:w="4577" w:type="dxa"/>
          </w:tcPr>
          <w:p>
            <w:pPr>
              <w:pStyle w:val="TableParagraph"/>
              <w:spacing w:before="4"/>
              <w:ind w:left="810"/>
              <w:rPr>
                <w:sz w:val="24"/>
              </w:rPr>
            </w:pPr>
            <w:r>
              <w:rPr>
                <w:sz w:val="24"/>
              </w:rPr>
              <w:t>Fluorose</w:t>
            </w:r>
          </w:p>
        </w:tc>
      </w:tr>
      <w:tr>
        <w:trPr>
          <w:trHeight w:val="565" w:hRule="atLeast"/>
        </w:trPr>
        <w:tc>
          <w:tcPr>
            <w:tcW w:w="4581" w:type="dxa"/>
          </w:tcPr>
          <w:p>
            <w:pPr>
              <w:pStyle w:val="TableParagraph"/>
              <w:spacing w:before="3"/>
              <w:ind w:left="1425"/>
              <w:rPr>
                <w:sz w:val="24"/>
              </w:rPr>
            </w:pPr>
            <w:r>
              <w:rPr>
                <w:sz w:val="24"/>
              </w:rPr>
              <w:t>Nitrate</w:t>
            </w:r>
          </w:p>
        </w:tc>
        <w:tc>
          <w:tcPr>
            <w:tcW w:w="4577" w:type="dxa"/>
          </w:tcPr>
          <w:p>
            <w:pPr>
              <w:pStyle w:val="TableParagraph"/>
              <w:spacing w:before="3"/>
              <w:ind w:left="643"/>
              <w:rPr>
                <w:sz w:val="24"/>
              </w:rPr>
            </w:pPr>
            <w:r>
              <w:rPr>
                <w:sz w:val="24"/>
              </w:rPr>
              <w:t>Méthémoglobinémie</w:t>
            </w:r>
          </w:p>
        </w:tc>
      </w:tr>
      <w:tr>
        <w:trPr>
          <w:trHeight w:val="565" w:hRule="atLeast"/>
        </w:trPr>
        <w:tc>
          <w:tcPr>
            <w:tcW w:w="4581" w:type="dxa"/>
          </w:tcPr>
          <w:p>
            <w:pPr>
              <w:pStyle w:val="TableParagraph"/>
              <w:spacing w:before="3"/>
              <w:ind w:left="1353"/>
              <w:rPr>
                <w:sz w:val="24"/>
              </w:rPr>
            </w:pPr>
            <w:r>
              <w:rPr>
                <w:sz w:val="24"/>
              </w:rPr>
              <w:t>Plomb</w:t>
            </w:r>
          </w:p>
        </w:tc>
        <w:tc>
          <w:tcPr>
            <w:tcW w:w="4577" w:type="dxa"/>
          </w:tcPr>
          <w:p>
            <w:pPr>
              <w:pStyle w:val="TableParagraph"/>
              <w:spacing w:before="3"/>
              <w:ind w:left="810"/>
              <w:rPr>
                <w:sz w:val="24"/>
              </w:rPr>
            </w:pPr>
            <w:r>
              <w:rPr>
                <w:sz w:val="24"/>
              </w:rPr>
              <w:t>Saturnisme</w:t>
            </w:r>
          </w:p>
        </w:tc>
      </w:tr>
      <w:tr>
        <w:trPr>
          <w:trHeight w:val="830" w:hRule="atLeast"/>
        </w:trPr>
        <w:tc>
          <w:tcPr>
            <w:tcW w:w="4581" w:type="dxa"/>
          </w:tcPr>
          <w:p>
            <w:pPr>
              <w:pStyle w:val="TableParagraph"/>
              <w:spacing w:before="2"/>
              <w:ind w:left="645"/>
              <w:rPr>
                <w:sz w:val="24"/>
              </w:rPr>
            </w:pPr>
            <w:r>
              <w:rPr>
                <w:sz w:val="24"/>
              </w:rPr>
              <w:t>Toxines de cyanobactéries</w:t>
            </w:r>
          </w:p>
        </w:tc>
        <w:tc>
          <w:tcPr>
            <w:tcW w:w="4577" w:type="dxa"/>
          </w:tcPr>
          <w:p>
            <w:pPr>
              <w:pStyle w:val="TableParagraph"/>
              <w:spacing w:before="2"/>
              <w:ind w:left="103"/>
              <w:rPr>
                <w:sz w:val="24"/>
              </w:rPr>
            </w:pPr>
            <w:r>
              <w:rPr>
                <w:sz w:val="24"/>
              </w:rPr>
              <w:t>Impacts sur le foie, le cerveau suivant</w:t>
            </w:r>
          </w:p>
          <w:p>
            <w:pPr>
              <w:pStyle w:val="TableParagraph"/>
              <w:spacing w:before="141"/>
              <w:ind w:left="103"/>
              <w:rPr>
                <w:sz w:val="24"/>
              </w:rPr>
            </w:pPr>
            <w:r>
              <w:rPr>
                <w:sz w:val="24"/>
              </w:rPr>
              <w:t>le type de toxine produite</w:t>
            </w:r>
          </w:p>
        </w:tc>
      </w:tr>
    </w:tbl>
    <w:p>
      <w:pPr>
        <w:pStyle w:val="BodyText"/>
        <w:rPr>
          <w:sz w:val="26"/>
        </w:rPr>
      </w:pPr>
    </w:p>
    <w:p>
      <w:pPr>
        <w:pStyle w:val="BodyText"/>
        <w:spacing w:before="9"/>
        <w:rPr>
          <w:sz w:val="28"/>
        </w:rPr>
      </w:pPr>
    </w:p>
    <w:p>
      <w:pPr>
        <w:pStyle w:val="Heading4"/>
        <w:numPr>
          <w:ilvl w:val="2"/>
          <w:numId w:val="15"/>
        </w:numPr>
        <w:tabs>
          <w:tab w:pos="1189" w:val="left" w:leader="none"/>
        </w:tabs>
        <w:spacing w:line="240" w:lineRule="auto" w:before="1" w:after="0"/>
        <w:ind w:left="1188" w:right="0" w:hanging="513"/>
        <w:jc w:val="left"/>
      </w:pPr>
      <w:bookmarkStart w:name="_TOC_250062" w:id="19"/>
      <w:bookmarkEnd w:id="19"/>
      <w:r>
        <w:rPr/>
        <w:t>La fluorose :</w:t>
      </w:r>
    </w:p>
    <w:p>
      <w:pPr>
        <w:pStyle w:val="BodyText"/>
        <w:spacing w:line="360" w:lineRule="auto" w:before="131"/>
        <w:ind w:left="675" w:right="1416"/>
        <w:jc w:val="both"/>
      </w:pPr>
      <w:r>
        <w:rPr/>
        <w:t>Est une condition anormale causée par une prise excessive de fluor, comme de l'eau potable fluorée,      caractérisée      principalement      par      des      tâches       sur       les       dents. Un niveau modéré d'exposition chronique (supérieur à 1.5 mg/l d'eau) est assez</w:t>
      </w:r>
      <w:r>
        <w:rPr>
          <w:spacing w:val="-22"/>
        </w:rPr>
        <w:t> </w:t>
      </w:r>
      <w:r>
        <w:rPr/>
        <w:t>courante.</w:t>
      </w:r>
    </w:p>
    <w:p>
      <w:pPr>
        <w:pStyle w:val="BodyText"/>
        <w:spacing w:line="360" w:lineRule="auto" w:before="2"/>
        <w:ind w:left="675" w:right="1414"/>
        <w:jc w:val="both"/>
      </w:pPr>
      <w:r>
        <w:rPr/>
        <w:t>Une ingestion à long terme de grandes quantités peut mener à des problèmes squelettiques potentiellement graves (</w:t>
      </w:r>
      <w:r>
        <w:rPr>
          <w:i/>
        </w:rPr>
        <w:t>fluorose squelettique</w:t>
      </w:r>
      <w:r>
        <w:rPr/>
        <w:t>). </w:t>
      </w:r>
      <w:r>
        <w:rPr>
          <w:spacing w:val="-4"/>
        </w:rPr>
        <w:t>Les</w:t>
      </w:r>
      <w:r>
        <w:rPr>
          <w:spacing w:val="52"/>
        </w:rPr>
        <w:t> </w:t>
      </w:r>
      <w:r>
        <w:rPr/>
        <w:t>premiers symptômes d'une fluorose squelettique incluent une rigidité et une douleur dans les articulations. Dans les cas graves, la structure de l'os peut changer et les ligaments peuvent se calcifier, avec un affaiblissement des muscles et des douleurs. Une exposition aiguë à de </w:t>
      </w:r>
      <w:r>
        <w:rPr>
          <w:spacing w:val="2"/>
        </w:rPr>
        <w:t>hauts </w:t>
      </w:r>
      <w:r>
        <w:rPr/>
        <w:t>niveaux de fluorure entraîne des effets immédiats de douleur abdominale, une salive excessive, des nausées et des vomissements. Des spasmes musculaires peuvent également se produire [5].</w:t>
      </w:r>
    </w:p>
    <w:p>
      <w:pPr>
        <w:pStyle w:val="BodyText"/>
      </w:pPr>
    </w:p>
    <w:p>
      <w:pPr>
        <w:pStyle w:val="BodyText"/>
        <w:spacing w:line="360" w:lineRule="auto" w:before="1"/>
        <w:ind w:left="675" w:right="1415"/>
        <w:jc w:val="both"/>
      </w:pPr>
      <w:r>
        <w:rPr>
          <w:spacing w:val="-4"/>
        </w:rPr>
        <w:t>La </w:t>
      </w:r>
      <w:r>
        <w:rPr/>
        <w:t>fluorose affecte des millions de personnes partout dans le monde, mais concernant la fluorose dentaire les formes les plus douces sont les plus fréquentes. </w:t>
      </w:r>
      <w:r>
        <w:rPr>
          <w:spacing w:val="-4"/>
        </w:rPr>
        <w:t>Les </w:t>
      </w:r>
      <w:r>
        <w:rPr/>
        <w:t>eaux à hauts degrés de fluorure sont la plupart du temps trouvées au pied des hautes montagnes et dans les secteurs où la mer a provoqué des dépôts géologiques</w:t>
      </w:r>
      <w:r>
        <w:rPr>
          <w:spacing w:val="-9"/>
        </w:rPr>
        <w:t> </w:t>
      </w:r>
      <w:r>
        <w:rPr/>
        <w:t>[5].</w:t>
      </w:r>
    </w:p>
    <w:p>
      <w:pPr>
        <w:pStyle w:val="BodyText"/>
        <w:spacing w:before="7"/>
      </w:pPr>
    </w:p>
    <w:p>
      <w:pPr>
        <w:pStyle w:val="Heading4"/>
        <w:numPr>
          <w:ilvl w:val="2"/>
          <w:numId w:val="15"/>
        </w:numPr>
        <w:tabs>
          <w:tab w:pos="1248" w:val="left" w:leader="none"/>
        </w:tabs>
        <w:spacing w:line="240" w:lineRule="auto" w:before="0" w:after="0"/>
        <w:ind w:left="1247" w:right="0" w:hanging="572"/>
        <w:jc w:val="left"/>
      </w:pPr>
      <w:bookmarkStart w:name="_TOC_250061" w:id="20"/>
      <w:bookmarkEnd w:id="20"/>
      <w:r>
        <w:rPr/>
        <w:t>Arsénicisme :</w:t>
      </w:r>
    </w:p>
    <w:p>
      <w:pPr>
        <w:pStyle w:val="BodyText"/>
        <w:spacing w:before="3"/>
        <w:rPr>
          <w:b/>
          <w:sz w:val="29"/>
        </w:rPr>
      </w:pPr>
    </w:p>
    <w:p>
      <w:pPr>
        <w:pStyle w:val="BodyText"/>
        <w:spacing w:line="360" w:lineRule="auto"/>
        <w:ind w:left="675" w:right="1416" w:firstLine="423"/>
        <w:jc w:val="both"/>
      </w:pPr>
      <w:r>
        <w:rPr/>
        <w:t>L’exposition prolongée à de faibles concentrations d’arsenic dans l’eau de boisson cause une kératodermie douloureuse (lésions durcies) et peut déboucher sur des cancers de la peau, des poumons, de la vessie et des reins. Des millions de personnes courent un risque</w:t>
      </w:r>
    </w:p>
    <w:p>
      <w:pPr>
        <w:spacing w:after="0" w:line="360" w:lineRule="auto"/>
        <w:jc w:val="both"/>
        <w:sectPr>
          <w:pgSz w:w="11900" w:h="16840"/>
          <w:pgMar w:header="727" w:footer="1061" w:top="1180" w:bottom="1260" w:left="740" w:right="0"/>
        </w:sectPr>
      </w:pPr>
    </w:p>
    <w:p>
      <w:pPr>
        <w:pStyle w:val="BodyText"/>
        <w:spacing w:before="2"/>
        <w:rPr>
          <w:sz w:val="20"/>
        </w:rPr>
      </w:pPr>
    </w:p>
    <w:p>
      <w:pPr>
        <w:pStyle w:val="BodyText"/>
        <w:spacing w:line="360" w:lineRule="auto" w:before="90"/>
        <w:ind w:left="675" w:right="1428"/>
        <w:jc w:val="both"/>
      </w:pPr>
      <w:r>
        <w:rPr/>
        <w:t>d’arsénicisme parce qu’elles utilisent des points d’eau (essentiellement naturels) contaminés par l’arsenic et n’ont pas accès à une autre source d’eau salubre ou ignorent les risques qu’elles courent. (Sasson, 2005).</w:t>
      </w:r>
    </w:p>
    <w:p>
      <w:pPr>
        <w:pStyle w:val="Heading4"/>
        <w:numPr>
          <w:ilvl w:val="2"/>
          <w:numId w:val="15"/>
        </w:numPr>
        <w:tabs>
          <w:tab w:pos="1248" w:val="left" w:leader="none"/>
        </w:tabs>
        <w:spacing w:line="240" w:lineRule="auto" w:before="201" w:after="0"/>
        <w:ind w:left="1247" w:right="0" w:hanging="572"/>
        <w:jc w:val="both"/>
      </w:pPr>
      <w:bookmarkStart w:name="_TOC_250060" w:id="21"/>
      <w:r>
        <w:rPr/>
        <w:t>L’insuffisance rénale</w:t>
      </w:r>
      <w:r>
        <w:rPr>
          <w:spacing w:val="4"/>
        </w:rPr>
        <w:t> </w:t>
      </w:r>
      <w:bookmarkEnd w:id="21"/>
      <w:r>
        <w:rPr/>
        <w:t>:</w:t>
      </w:r>
    </w:p>
    <w:p>
      <w:pPr>
        <w:pStyle w:val="BodyText"/>
        <w:spacing w:before="2"/>
        <w:rPr>
          <w:b/>
          <w:sz w:val="29"/>
        </w:rPr>
      </w:pPr>
    </w:p>
    <w:p>
      <w:pPr>
        <w:pStyle w:val="BodyText"/>
        <w:spacing w:line="360" w:lineRule="auto"/>
        <w:ind w:left="675" w:right="1425"/>
        <w:jc w:val="both"/>
      </w:pPr>
      <w:r>
        <w:rPr/>
        <w:t>L’insuffisance rénale est la perte du fonctionnement des reins. Elle signifie que les reins sont endommagés et ne peuvent plus filtrer le sang comme ils le devraient. Ce mauvais fonctionnement peut causer l’accumulation de déchets dans le corps.</w:t>
      </w:r>
    </w:p>
    <w:p>
      <w:pPr>
        <w:pStyle w:val="BodyText"/>
        <w:spacing w:line="360" w:lineRule="auto" w:before="198"/>
        <w:ind w:left="675" w:right="1414"/>
        <w:jc w:val="both"/>
      </w:pPr>
      <w:r>
        <w:rPr/>
        <w:t>Il peut aussi entraîner d’autres problèmes susceptibles de détériorer la santé. L’insuffisance rénale est dite chronique quand la maladie rénale (néphropathie) en cause est irréversible, sans possibilité de guérison. Il est nécessaire d'avoir de l'eau potable stérile et non polluée par des éléments physico-chimiques. (Jungers et </w:t>
      </w:r>
      <w:r>
        <w:rPr>
          <w:i/>
        </w:rPr>
        <w:t>al</w:t>
      </w:r>
      <w:r>
        <w:rPr/>
        <w:t>, 2001).</w:t>
      </w:r>
    </w:p>
    <w:p>
      <w:pPr>
        <w:pStyle w:val="Heading4"/>
        <w:numPr>
          <w:ilvl w:val="2"/>
          <w:numId w:val="15"/>
        </w:numPr>
        <w:tabs>
          <w:tab w:pos="1248" w:val="left" w:leader="none"/>
        </w:tabs>
        <w:spacing w:line="240" w:lineRule="auto" w:before="203" w:after="0"/>
        <w:ind w:left="1247" w:right="0" w:hanging="572"/>
        <w:jc w:val="both"/>
      </w:pPr>
      <w:bookmarkStart w:name="_TOC_250059" w:id="22"/>
      <w:r>
        <w:rPr/>
        <w:t>La méthémoglobinémie</w:t>
      </w:r>
      <w:r>
        <w:rPr>
          <w:spacing w:val="6"/>
        </w:rPr>
        <w:t> </w:t>
      </w:r>
      <w:bookmarkEnd w:id="22"/>
      <w:r>
        <w:rPr/>
        <w:t>:</w:t>
      </w:r>
    </w:p>
    <w:p>
      <w:pPr>
        <w:pStyle w:val="BodyText"/>
        <w:spacing w:before="2"/>
        <w:rPr>
          <w:b/>
          <w:sz w:val="29"/>
        </w:rPr>
      </w:pPr>
    </w:p>
    <w:p>
      <w:pPr>
        <w:pStyle w:val="BodyText"/>
        <w:spacing w:line="360" w:lineRule="auto" w:before="1"/>
        <w:ind w:left="675" w:right="1421"/>
        <w:jc w:val="both"/>
      </w:pPr>
      <w:r>
        <w:rPr>
          <w:spacing w:val="-4"/>
        </w:rPr>
        <w:t>La</w:t>
      </w:r>
      <w:r>
        <w:rPr>
          <w:spacing w:val="52"/>
        </w:rPr>
        <w:t> </w:t>
      </w:r>
      <w:r>
        <w:rPr/>
        <w:t>méthémoglobinémie est caractérisée par une capacité réduite du sang à transporter l'oxygène du fait de la diminution des niveaux d'hémoglobine normale. Il s'agit d'une maladie rare. </w:t>
      </w:r>
      <w:r>
        <w:rPr>
          <w:spacing w:val="-6"/>
        </w:rPr>
        <w:t>Le </w:t>
      </w:r>
      <w:r>
        <w:rPr/>
        <w:t>plus souvent les nouveau-nés qui sont affectés. ils peuvent sembler en bonne santé, mais ils présentent des signes de bleuissement autour de la bouche, sur les mains et les pieds, ce qui explique donc le nom courant </w:t>
      </w:r>
      <w:r>
        <w:rPr>
          <w:spacing w:val="-3"/>
        </w:rPr>
        <w:t>de </w:t>
      </w:r>
      <w:r>
        <w:rPr/>
        <w:t>« syndrome du bébé bleu </w:t>
      </w:r>
      <w:r>
        <w:rPr>
          <w:spacing w:val="-4"/>
        </w:rPr>
        <w:t>». </w:t>
      </w:r>
      <w:r>
        <w:rPr/>
        <w:t>Ces enfants peuvent avoir des troubles respiratoires ainsi que des vomissements et des diarrhées. Certains cas peuvent être mortels. Une des causes les plus courantes est la présence de nitrates dans l'eau de boisson. </w:t>
      </w:r>
      <w:r>
        <w:rPr>
          <w:spacing w:val="-6"/>
        </w:rPr>
        <w:t>La </w:t>
      </w:r>
      <w:r>
        <w:rPr/>
        <w:t>surveillance </w:t>
      </w:r>
      <w:r>
        <w:rPr>
          <w:spacing w:val="-3"/>
        </w:rPr>
        <w:t>de </w:t>
      </w:r>
      <w:r>
        <w:rPr/>
        <w:t>concentrations de nitrates dans les sources d'eau de boisson inférieures à 50 mg/litre est une mesure préventive efficace. (Bennaoui et </w:t>
      </w:r>
      <w:r>
        <w:rPr>
          <w:i/>
        </w:rPr>
        <w:t>al</w:t>
      </w:r>
      <w:r>
        <w:rPr/>
        <w:t>, 2010).</w:t>
      </w:r>
    </w:p>
    <w:p>
      <w:pPr>
        <w:pStyle w:val="BodyText"/>
        <w:spacing w:before="5"/>
        <w:rPr>
          <w:sz w:val="13"/>
        </w:rPr>
      </w:pPr>
    </w:p>
    <w:p>
      <w:pPr>
        <w:pStyle w:val="Heading4"/>
        <w:numPr>
          <w:ilvl w:val="1"/>
          <w:numId w:val="16"/>
        </w:numPr>
        <w:tabs>
          <w:tab w:pos="1068" w:val="left" w:leader="none"/>
        </w:tabs>
        <w:spacing w:line="240" w:lineRule="auto" w:before="90" w:after="0"/>
        <w:ind w:left="1067" w:right="0" w:hanging="392"/>
        <w:jc w:val="left"/>
      </w:pPr>
      <w:bookmarkStart w:name="_TOC_250058" w:id="23"/>
      <w:r>
        <w:rPr/>
        <w:t>Critères </w:t>
      </w:r>
      <w:r>
        <w:rPr>
          <w:spacing w:val="-3"/>
        </w:rPr>
        <w:t>de </w:t>
      </w:r>
      <w:r>
        <w:rPr/>
        <w:t>potabilité</w:t>
      </w:r>
      <w:r>
        <w:rPr>
          <w:spacing w:val="10"/>
        </w:rPr>
        <w:t> </w:t>
      </w:r>
      <w:bookmarkEnd w:id="23"/>
      <w:r>
        <w:rPr/>
        <w:t>:</w:t>
      </w:r>
    </w:p>
    <w:p>
      <w:pPr>
        <w:pStyle w:val="BodyText"/>
        <w:spacing w:before="2"/>
        <w:rPr>
          <w:b/>
          <w:sz w:val="29"/>
        </w:rPr>
      </w:pPr>
    </w:p>
    <w:p>
      <w:pPr>
        <w:pStyle w:val="BodyText"/>
        <w:spacing w:line="360" w:lineRule="auto"/>
        <w:ind w:left="675" w:right="1419" w:firstLine="707"/>
        <w:jc w:val="both"/>
      </w:pPr>
      <w:r>
        <w:rPr/>
        <w:t>Pour être consommée, l’eau doit répondre à des critères de qualité très stricts, fixés par le ministère de la santé, les critères d’une eau "propre à la consommation" sont au nombre de 63 et portent sur :</w:t>
      </w:r>
    </w:p>
    <w:p>
      <w:pPr>
        <w:pStyle w:val="ListParagraph"/>
        <w:numPr>
          <w:ilvl w:val="2"/>
          <w:numId w:val="16"/>
        </w:numPr>
        <w:tabs>
          <w:tab w:pos="1320" w:val="left" w:leader="none"/>
        </w:tabs>
        <w:spacing w:line="362" w:lineRule="auto" w:before="197" w:after="0"/>
        <w:ind w:left="1319" w:right="1427" w:hanging="360"/>
        <w:jc w:val="left"/>
        <w:rPr>
          <w:sz w:val="24"/>
        </w:rPr>
      </w:pPr>
      <w:r>
        <w:rPr>
          <w:spacing w:val="-4"/>
          <w:sz w:val="24"/>
        </w:rPr>
        <w:t>La </w:t>
      </w:r>
      <w:r>
        <w:rPr>
          <w:sz w:val="24"/>
        </w:rPr>
        <w:t>qualité microbiologique : l’eau ne doit contenir ni parasite, ni virus, ni bactérie pathogène.</w:t>
      </w:r>
    </w:p>
    <w:p>
      <w:pPr>
        <w:pStyle w:val="ListParagraph"/>
        <w:numPr>
          <w:ilvl w:val="2"/>
          <w:numId w:val="16"/>
        </w:numPr>
        <w:tabs>
          <w:tab w:pos="1320" w:val="left" w:leader="none"/>
        </w:tabs>
        <w:spacing w:line="362" w:lineRule="auto" w:before="0" w:after="0"/>
        <w:ind w:left="1319" w:right="1423" w:hanging="360"/>
        <w:jc w:val="left"/>
        <w:rPr>
          <w:sz w:val="24"/>
        </w:rPr>
      </w:pPr>
      <w:r>
        <w:rPr>
          <w:spacing w:val="-4"/>
          <w:sz w:val="24"/>
        </w:rPr>
        <w:t>La </w:t>
      </w:r>
      <w:r>
        <w:rPr>
          <w:sz w:val="24"/>
        </w:rPr>
        <w:t>qualité chimique : les substances chimiques autres que les sels minéraux font l’objet de normes très sévères. Ces substances sont dites "indésirables " ou "</w:t>
      </w:r>
      <w:r>
        <w:rPr>
          <w:spacing w:val="-29"/>
          <w:sz w:val="24"/>
        </w:rPr>
        <w:t> </w:t>
      </w:r>
      <w:r>
        <w:rPr>
          <w:sz w:val="24"/>
        </w:rPr>
        <w:t>toxiques"</w:t>
      </w:r>
    </w:p>
    <w:p>
      <w:pPr>
        <w:spacing w:after="0" w:line="362" w:lineRule="auto"/>
        <w:jc w:val="left"/>
        <w:rPr>
          <w:sz w:val="24"/>
        </w:rPr>
        <w:sectPr>
          <w:pgSz w:w="11900" w:h="16840"/>
          <w:pgMar w:header="727" w:footer="1061" w:top="1180" w:bottom="1260" w:left="740" w:right="0"/>
        </w:sectPr>
      </w:pPr>
    </w:p>
    <w:p>
      <w:pPr>
        <w:pStyle w:val="BodyText"/>
        <w:rPr>
          <w:sz w:val="16"/>
        </w:rPr>
      </w:pPr>
    </w:p>
    <w:p>
      <w:pPr>
        <w:pStyle w:val="ListParagraph"/>
        <w:numPr>
          <w:ilvl w:val="3"/>
          <w:numId w:val="16"/>
        </w:numPr>
        <w:tabs>
          <w:tab w:pos="2291" w:val="left" w:leader="none"/>
        </w:tabs>
        <w:spacing w:line="362" w:lineRule="auto" w:before="90" w:after="0"/>
        <w:ind w:left="1382" w:right="1424" w:firstLine="709"/>
        <w:jc w:val="left"/>
        <w:rPr>
          <w:sz w:val="24"/>
        </w:rPr>
      </w:pPr>
      <w:r>
        <w:rPr>
          <w:sz w:val="24"/>
        </w:rPr>
        <w:t>Les substances indésirables : </w:t>
      </w:r>
      <w:r>
        <w:rPr>
          <w:spacing w:val="-3"/>
          <w:sz w:val="24"/>
        </w:rPr>
        <w:t>Leur </w:t>
      </w:r>
      <w:r>
        <w:rPr>
          <w:sz w:val="24"/>
        </w:rPr>
        <w:t>présence est tolérée tant qu’elle reste inférieure à un certain seuil (le fluor et les nitrates par</w:t>
      </w:r>
      <w:r>
        <w:rPr>
          <w:spacing w:val="-19"/>
          <w:sz w:val="24"/>
        </w:rPr>
        <w:t> </w:t>
      </w:r>
      <w:r>
        <w:rPr>
          <w:sz w:val="24"/>
        </w:rPr>
        <w:t>exemple).</w:t>
      </w:r>
    </w:p>
    <w:p>
      <w:pPr>
        <w:pStyle w:val="ListParagraph"/>
        <w:numPr>
          <w:ilvl w:val="3"/>
          <w:numId w:val="16"/>
        </w:numPr>
        <w:tabs>
          <w:tab w:pos="2299" w:val="left" w:leader="none"/>
        </w:tabs>
        <w:spacing w:line="362" w:lineRule="auto" w:before="0" w:after="0"/>
        <w:ind w:left="1382" w:right="1429" w:firstLine="769"/>
        <w:jc w:val="left"/>
        <w:rPr>
          <w:sz w:val="24"/>
        </w:rPr>
      </w:pPr>
      <w:r>
        <w:rPr>
          <w:spacing w:val="-2"/>
          <w:sz w:val="24"/>
        </w:rPr>
        <w:t>Les </w:t>
      </w:r>
      <w:r>
        <w:rPr>
          <w:sz w:val="24"/>
        </w:rPr>
        <w:t>substances aux effets toxiques : le plomb et le chrome en font partie. </w:t>
      </w:r>
      <w:r>
        <w:rPr>
          <w:spacing w:val="-4"/>
          <w:sz w:val="24"/>
        </w:rPr>
        <w:t>Les </w:t>
      </w:r>
      <w:r>
        <w:rPr>
          <w:sz w:val="24"/>
        </w:rPr>
        <w:t>teneurs tolérées sont extrêmement</w:t>
      </w:r>
      <w:r>
        <w:rPr>
          <w:spacing w:val="-5"/>
          <w:sz w:val="24"/>
        </w:rPr>
        <w:t> </w:t>
      </w:r>
      <w:r>
        <w:rPr>
          <w:sz w:val="24"/>
        </w:rPr>
        <w:t>faibles.</w:t>
      </w:r>
    </w:p>
    <w:p>
      <w:pPr>
        <w:pStyle w:val="ListParagraph"/>
        <w:numPr>
          <w:ilvl w:val="2"/>
          <w:numId w:val="16"/>
        </w:numPr>
        <w:tabs>
          <w:tab w:pos="1320" w:val="left" w:leader="none"/>
        </w:tabs>
        <w:spacing w:line="360" w:lineRule="auto" w:before="0" w:after="0"/>
        <w:ind w:left="1319" w:right="1411" w:hanging="360"/>
        <w:jc w:val="both"/>
        <w:rPr>
          <w:sz w:val="24"/>
        </w:rPr>
      </w:pPr>
      <w:r>
        <w:rPr>
          <w:spacing w:val="-4"/>
          <w:sz w:val="24"/>
        </w:rPr>
        <w:t>La </w:t>
      </w:r>
      <w:r>
        <w:rPr>
          <w:sz w:val="24"/>
        </w:rPr>
        <w:t>qualité physique et gustative : L’eau doit être limpide, claire, aérée et ne </w:t>
      </w:r>
      <w:r>
        <w:rPr>
          <w:spacing w:val="3"/>
          <w:sz w:val="24"/>
        </w:rPr>
        <w:t>doit </w:t>
      </w:r>
      <w:r>
        <w:rPr>
          <w:sz w:val="24"/>
        </w:rPr>
        <w:t>présenter ni saveur ni odeur désagréable </w:t>
      </w:r>
      <w:r>
        <w:rPr>
          <w:spacing w:val="-2"/>
          <w:sz w:val="24"/>
        </w:rPr>
        <w:t>Les </w:t>
      </w:r>
      <w:r>
        <w:rPr>
          <w:sz w:val="24"/>
        </w:rPr>
        <w:t>eaux adoucies ou déminéralisées : Les eaux traitées par un adoucisseur d’eau doivent contenir une teneur minimale en calcium ou en magnésium, de même qu’en carbonate ou en bicarbonate. (Sardi</w:t>
      </w:r>
      <w:r>
        <w:rPr>
          <w:spacing w:val="-10"/>
          <w:sz w:val="24"/>
        </w:rPr>
        <w:t> </w:t>
      </w:r>
      <w:r>
        <w:rPr>
          <w:sz w:val="24"/>
        </w:rPr>
        <w:t>,2014).</w:t>
      </w:r>
    </w:p>
    <w:p>
      <w:pPr>
        <w:pStyle w:val="Heading3"/>
        <w:numPr>
          <w:ilvl w:val="1"/>
          <w:numId w:val="16"/>
        </w:numPr>
        <w:tabs>
          <w:tab w:pos="1067" w:val="left" w:leader="none"/>
        </w:tabs>
        <w:spacing w:line="240" w:lineRule="auto" w:before="190" w:after="0"/>
        <w:ind w:left="1066" w:right="0" w:hanging="391"/>
        <w:jc w:val="left"/>
        <w:rPr>
          <w:sz w:val="26"/>
        </w:rPr>
      </w:pPr>
      <w:bookmarkStart w:name="_TOC_250057" w:id="24"/>
      <w:r>
        <w:rPr/>
        <w:t>Traitement des eaux</w:t>
      </w:r>
      <w:r>
        <w:rPr>
          <w:spacing w:val="2"/>
        </w:rPr>
        <w:t> </w:t>
      </w:r>
      <w:bookmarkEnd w:id="24"/>
      <w:r>
        <w:rPr/>
        <w:t>:</w:t>
      </w:r>
    </w:p>
    <w:p>
      <w:pPr>
        <w:pStyle w:val="BodyText"/>
        <w:spacing w:before="3"/>
        <w:rPr>
          <w:b/>
          <w:sz w:val="31"/>
        </w:rPr>
      </w:pPr>
    </w:p>
    <w:p>
      <w:pPr>
        <w:pStyle w:val="BodyText"/>
        <w:spacing w:line="362" w:lineRule="auto"/>
        <w:ind w:left="675" w:right="1428" w:firstLine="707"/>
        <w:jc w:val="both"/>
      </w:pPr>
      <w:r>
        <w:rPr/>
        <w:t>L'objectif fondamental du traitement de l'eau est de protéger les consommateurs des micro-organismes pathogènes et des impuretés désagréables ou dangereuses pour la santé.</w:t>
      </w:r>
    </w:p>
    <w:p>
      <w:pPr>
        <w:pStyle w:val="BodyText"/>
        <w:spacing w:line="360" w:lineRule="auto" w:before="194"/>
        <w:ind w:left="675" w:right="1416" w:firstLine="767"/>
        <w:jc w:val="both"/>
      </w:pPr>
      <w:r>
        <w:rPr/>
        <w:t>Qu'elles soient d'origine souterraines ou superficielles, les </w:t>
      </w:r>
      <w:r>
        <w:rPr>
          <w:spacing w:val="3"/>
        </w:rPr>
        <w:t>eaux </w:t>
      </w:r>
      <w:r>
        <w:rPr/>
        <w:t>utilisées pour l'alimentation humaine sont rarement consommables telles quelles. Il est souvent nécessaire de leur appliquer un traitement plus ou moins approprié (Valentin, 2000). Si une protection contenue de la source aux consommateurs ne peut être garantie, il sera impératif de procéder à une désinfection et de maintenir une concentration de chlore résiduel suffisante. (OMS,</w:t>
      </w:r>
      <w:r>
        <w:rPr>
          <w:spacing w:val="-43"/>
        </w:rPr>
        <w:t> </w:t>
      </w:r>
      <w:r>
        <w:rPr/>
        <w:t>1994).</w:t>
      </w:r>
    </w:p>
    <w:p>
      <w:pPr>
        <w:pStyle w:val="BodyText"/>
        <w:spacing w:before="201"/>
        <w:ind w:left="1382"/>
      </w:pPr>
      <w:r>
        <w:rPr/>
        <w:t>Les étapes d’un traitement d’eau sont :</w:t>
      </w:r>
    </w:p>
    <w:p>
      <w:pPr>
        <w:pStyle w:val="BodyText"/>
        <w:spacing w:before="4"/>
        <w:rPr>
          <w:sz w:val="36"/>
        </w:rPr>
      </w:pPr>
    </w:p>
    <w:p>
      <w:pPr>
        <w:pStyle w:val="Heading3"/>
        <w:numPr>
          <w:ilvl w:val="0"/>
          <w:numId w:val="17"/>
        </w:numPr>
        <w:tabs>
          <w:tab w:pos="1394" w:val="left" w:leader="none"/>
          <w:tab w:pos="1395" w:val="left" w:leader="none"/>
        </w:tabs>
        <w:spacing w:line="240" w:lineRule="auto" w:before="0" w:after="0"/>
        <w:ind w:left="1394" w:right="0" w:hanging="359"/>
        <w:jc w:val="left"/>
        <w:rPr>
          <w:rFonts w:ascii="Symbol" w:hAnsi="Symbol"/>
        </w:rPr>
      </w:pPr>
      <w:r>
        <w:rPr/>
        <w:t>Dégrillage et tamisage :</w:t>
      </w:r>
    </w:p>
    <w:p>
      <w:pPr>
        <w:pStyle w:val="BodyText"/>
        <w:spacing w:before="1"/>
        <w:rPr>
          <w:b/>
          <w:sz w:val="38"/>
        </w:rPr>
      </w:pPr>
    </w:p>
    <w:p>
      <w:pPr>
        <w:pStyle w:val="BodyText"/>
        <w:ind w:left="675"/>
      </w:pPr>
      <w:r>
        <w:rPr/>
        <w:t>Le passage de l’eau captée à travers des grilles et tamis élimine les plus gros débris.</w:t>
      </w:r>
    </w:p>
    <w:p>
      <w:pPr>
        <w:pStyle w:val="BodyText"/>
        <w:spacing w:before="4"/>
        <w:rPr>
          <w:sz w:val="36"/>
        </w:rPr>
      </w:pPr>
    </w:p>
    <w:p>
      <w:pPr>
        <w:pStyle w:val="Heading3"/>
        <w:numPr>
          <w:ilvl w:val="0"/>
          <w:numId w:val="17"/>
        </w:numPr>
        <w:tabs>
          <w:tab w:pos="1394" w:val="left" w:leader="none"/>
          <w:tab w:pos="1395" w:val="left" w:leader="none"/>
        </w:tabs>
        <w:spacing w:line="240" w:lineRule="auto" w:before="1" w:after="0"/>
        <w:ind w:left="1394" w:right="0" w:hanging="359"/>
        <w:jc w:val="left"/>
        <w:rPr>
          <w:rFonts w:ascii="Symbol" w:hAnsi="Symbol"/>
        </w:rPr>
      </w:pPr>
      <w:r>
        <w:rPr/>
        <w:t>Oxydation :</w:t>
      </w:r>
    </w:p>
    <w:p>
      <w:pPr>
        <w:pStyle w:val="BodyText"/>
        <w:spacing w:before="1"/>
        <w:rPr>
          <w:b/>
          <w:sz w:val="38"/>
        </w:rPr>
      </w:pPr>
    </w:p>
    <w:p>
      <w:pPr>
        <w:pStyle w:val="BodyText"/>
        <w:spacing w:line="360" w:lineRule="auto"/>
        <w:ind w:left="675" w:right="1414" w:firstLine="359"/>
        <w:jc w:val="both"/>
      </w:pPr>
      <w:r>
        <w:rPr/>
        <w:t>Si la charge organique est très importante ou s’il y a de l’ammoniaque, du fer ou du manganèse en solution, l’oxydation facilite leur élimination lors de la phase de clarification. Cette étape d’oxydation peut se faire avec du chlore ou de l’ozone[6].</w:t>
      </w:r>
    </w:p>
    <w:p>
      <w:pPr>
        <w:pStyle w:val="BodyText"/>
        <w:spacing w:before="8"/>
      </w:pPr>
    </w:p>
    <w:p>
      <w:pPr>
        <w:pStyle w:val="ListParagraph"/>
        <w:numPr>
          <w:ilvl w:val="0"/>
          <w:numId w:val="17"/>
        </w:numPr>
        <w:tabs>
          <w:tab w:pos="1394" w:val="left" w:leader="none"/>
          <w:tab w:pos="1395" w:val="left" w:leader="none"/>
        </w:tabs>
        <w:spacing w:line="240" w:lineRule="auto" w:before="0" w:after="0"/>
        <w:ind w:left="1394" w:right="0" w:hanging="359"/>
        <w:jc w:val="left"/>
        <w:rPr>
          <w:rFonts w:ascii="Symbol" w:hAnsi="Symbol"/>
          <w:sz w:val="24"/>
        </w:rPr>
      </w:pPr>
      <w:r>
        <w:rPr>
          <w:b/>
          <w:sz w:val="28"/>
        </w:rPr>
        <w:t>Clarification : </w:t>
      </w:r>
      <w:r>
        <w:rPr>
          <w:sz w:val="24"/>
        </w:rPr>
        <w:t>coagulation-floculation, décantation et</w:t>
      </w:r>
      <w:r>
        <w:rPr>
          <w:spacing w:val="-4"/>
          <w:sz w:val="24"/>
        </w:rPr>
        <w:t> </w:t>
      </w:r>
      <w:r>
        <w:rPr>
          <w:sz w:val="24"/>
        </w:rPr>
        <w:t>filtration</w:t>
      </w:r>
    </w:p>
    <w:p>
      <w:pPr>
        <w:pStyle w:val="BodyText"/>
        <w:spacing w:before="9"/>
        <w:rPr>
          <w:sz w:val="37"/>
        </w:rPr>
      </w:pPr>
    </w:p>
    <w:p>
      <w:pPr>
        <w:pStyle w:val="BodyText"/>
        <w:spacing w:line="362" w:lineRule="auto" w:before="1"/>
        <w:ind w:left="675" w:right="1450" w:firstLine="359"/>
      </w:pPr>
      <w:r>
        <w:rPr/>
        <w:t>En présence </w:t>
      </w:r>
      <w:r>
        <w:rPr>
          <w:spacing w:val="-3"/>
        </w:rPr>
        <w:t>de </w:t>
      </w:r>
      <w:r>
        <w:rPr/>
        <w:t>produits coagulants et floculants, les particules en suspension dans les eaux s’agrègent en flocons. </w:t>
      </w:r>
      <w:r>
        <w:rPr>
          <w:spacing w:val="-6"/>
        </w:rPr>
        <w:t>Le </w:t>
      </w:r>
      <w:r>
        <w:rPr/>
        <w:t>poids de ces flocons provoque la sédimentation des</w:t>
      </w:r>
      <w:r>
        <w:rPr>
          <w:spacing w:val="39"/>
        </w:rPr>
        <w:t> </w:t>
      </w:r>
      <w:r>
        <w:rPr/>
        <w:t>particules</w:t>
      </w:r>
    </w:p>
    <w:p>
      <w:pPr>
        <w:spacing w:after="0" w:line="362" w:lineRule="auto"/>
        <w:sectPr>
          <w:pgSz w:w="11900" w:h="16840"/>
          <w:pgMar w:header="727" w:footer="1061" w:top="1180" w:bottom="1260" w:left="740" w:right="0"/>
        </w:sectPr>
      </w:pPr>
    </w:p>
    <w:p>
      <w:pPr>
        <w:pStyle w:val="BodyText"/>
        <w:rPr>
          <w:sz w:val="16"/>
        </w:rPr>
      </w:pPr>
    </w:p>
    <w:p>
      <w:pPr>
        <w:pStyle w:val="BodyText"/>
        <w:spacing w:line="362" w:lineRule="auto" w:before="90"/>
        <w:ind w:left="675" w:right="1408"/>
      </w:pPr>
      <w:r>
        <w:rPr/>
        <w:t>au fond des bassins de décantation. La filtration finale à travers des filtres minéraux (sable) ou des membranes permet de produire une eau limpide débarrassée de ses particules [6].</w:t>
      </w:r>
    </w:p>
    <w:p>
      <w:pPr>
        <w:pStyle w:val="BodyText"/>
      </w:pPr>
    </w:p>
    <w:p>
      <w:pPr>
        <w:pStyle w:val="Heading3"/>
        <w:numPr>
          <w:ilvl w:val="0"/>
          <w:numId w:val="17"/>
        </w:numPr>
        <w:tabs>
          <w:tab w:pos="1394" w:val="left" w:leader="none"/>
          <w:tab w:pos="1395" w:val="left" w:leader="none"/>
        </w:tabs>
        <w:spacing w:line="240" w:lineRule="auto" w:before="0" w:after="0"/>
        <w:ind w:left="1394" w:right="0" w:hanging="359"/>
        <w:jc w:val="left"/>
        <w:rPr>
          <w:rFonts w:ascii="Symbol" w:hAnsi="Symbol"/>
        </w:rPr>
      </w:pPr>
      <w:r>
        <w:rPr/>
        <w:t>Désinfection :</w:t>
      </w:r>
    </w:p>
    <w:p>
      <w:pPr>
        <w:pStyle w:val="BodyText"/>
        <w:spacing w:before="1"/>
        <w:rPr>
          <w:b/>
          <w:sz w:val="38"/>
        </w:rPr>
      </w:pPr>
    </w:p>
    <w:p>
      <w:pPr>
        <w:pStyle w:val="BodyText"/>
        <w:spacing w:line="360" w:lineRule="auto" w:before="1"/>
        <w:ind w:left="675" w:right="1415" w:firstLine="359"/>
        <w:jc w:val="both"/>
      </w:pPr>
      <w:r>
        <w:rPr/>
        <w:t>Les bactéries et virus pathogènes qui demeurent dans l’eau sont éliminés lors de l’étape </w:t>
      </w:r>
      <w:r>
        <w:rPr>
          <w:spacing w:val="-3"/>
        </w:rPr>
        <w:t>de </w:t>
      </w:r>
      <w:r>
        <w:rPr/>
        <w:t>désinfection. On utilise pour cela du chlore, de l’ozone ou des ultra-violets. Une petite quantité de chlore reste dans l'eau produite pour éviter un développement bactérien plus en aval, dans le réseau d'eau</w:t>
      </w:r>
      <w:r>
        <w:rPr>
          <w:spacing w:val="-5"/>
        </w:rPr>
        <w:t> </w:t>
      </w:r>
      <w:r>
        <w:rPr/>
        <w:t>[6].</w:t>
      </w:r>
    </w:p>
    <w:p>
      <w:pPr>
        <w:spacing w:after="0" w:line="360" w:lineRule="auto"/>
        <w:jc w:val="both"/>
        <w:sectPr>
          <w:pgSz w:w="11900" w:h="16840"/>
          <w:pgMar w:header="727" w:footer="1061" w:top="1180" w:bottom="1260" w:left="740" w:right="0"/>
        </w:sectPr>
      </w:pPr>
    </w:p>
    <w:p>
      <w:pPr>
        <w:pStyle w:val="Heading2"/>
        <w:spacing w:line="300" w:lineRule="auto" w:before="86"/>
        <w:ind w:left="2211" w:hanging="320"/>
      </w:pPr>
      <w:r>
        <w:rPr>
          <w:color w:val="8063A1"/>
        </w:rPr>
        <w:t>Chapitre</w:t>
      </w:r>
      <w:r>
        <w:rPr>
          <w:b w:val="0"/>
          <w:i w:val="0"/>
          <w:color w:val="8063A1"/>
          <w:sz w:val="144"/>
        </w:rPr>
        <w:t>II </w:t>
      </w:r>
      <w:r>
        <w:rPr>
          <w:color w:val="8063A1"/>
        </w:rPr>
        <w:t>: Description</w:t>
      </w:r>
    </w:p>
    <w:p>
      <w:pPr>
        <w:spacing w:line="312" w:lineRule="auto" w:before="76"/>
        <w:ind w:left="2039" w:right="2652" w:firstLine="2155"/>
        <w:jc w:val="left"/>
        <w:rPr>
          <w:rFonts w:ascii="Lucida Calligraphy" w:hAnsi="Lucida Calligraphy"/>
          <w:b/>
          <w:i/>
          <w:sz w:val="96"/>
        </w:rPr>
      </w:pPr>
      <w:r>
        <w:rPr>
          <w:rFonts w:ascii="Lucida Calligraphy" w:hAnsi="Lucida Calligraphy"/>
          <w:b/>
          <w:i/>
          <w:color w:val="8063A1"/>
          <w:sz w:val="96"/>
        </w:rPr>
        <w:t>De la zone d’étude</w:t>
      </w:r>
    </w:p>
    <w:p>
      <w:pPr>
        <w:spacing w:after="0" w:line="312" w:lineRule="auto"/>
        <w:jc w:val="left"/>
        <w:rPr>
          <w:rFonts w:ascii="Lucida Calligraphy" w:hAnsi="Lucida Calligraphy"/>
          <w:sz w:val="96"/>
        </w:rPr>
        <w:sectPr>
          <w:headerReference w:type="default" r:id="rId45"/>
          <w:footerReference w:type="default" r:id="rId46"/>
          <w:pgSz w:w="11900" w:h="16840"/>
          <w:pgMar w:header="0" w:footer="0" w:top="1340" w:bottom="280" w:left="740" w:right="0"/>
          <w:pgBorders w:offsetFrom="page">
            <w:top w:val="single" w:color="000000" w:space="24" w:sz="36"/>
            <w:left w:val="single" w:color="000000" w:space="24" w:sz="36"/>
            <w:bottom w:val="single" w:color="000000" w:space="24" w:sz="36"/>
            <w:right w:val="single" w:color="000000" w:space="23" w:sz="36"/>
          </w:pgBorders>
        </w:sectPr>
      </w:pPr>
    </w:p>
    <w:p>
      <w:pPr>
        <w:pStyle w:val="BodyText"/>
        <w:spacing w:before="11"/>
        <w:rPr>
          <w:rFonts w:ascii="Lucida Calligraphy"/>
          <w:b/>
          <w:i/>
          <w:sz w:val="13"/>
        </w:rPr>
      </w:pPr>
    </w:p>
    <w:p>
      <w:pPr>
        <w:pStyle w:val="Heading4"/>
        <w:numPr>
          <w:ilvl w:val="1"/>
          <w:numId w:val="18"/>
        </w:numPr>
        <w:tabs>
          <w:tab w:pos="1160" w:val="left" w:leader="none"/>
        </w:tabs>
        <w:spacing w:line="240" w:lineRule="auto" w:before="90" w:after="0"/>
        <w:ind w:left="1159" w:right="0" w:hanging="484"/>
        <w:jc w:val="left"/>
      </w:pPr>
      <w:bookmarkStart w:name="_TOC_250056" w:id="25"/>
      <w:r>
        <w:rPr/>
        <w:t>Présentation </w:t>
      </w:r>
      <w:r>
        <w:rPr>
          <w:spacing w:val="-3"/>
        </w:rPr>
        <w:t>de </w:t>
      </w:r>
      <w:r>
        <w:rPr/>
        <w:t>la région </w:t>
      </w:r>
      <w:r>
        <w:rPr>
          <w:spacing w:val="-3"/>
        </w:rPr>
        <w:t>de </w:t>
      </w:r>
      <w:r>
        <w:rPr/>
        <w:t>Guelma</w:t>
      </w:r>
      <w:r>
        <w:rPr>
          <w:spacing w:val="19"/>
        </w:rPr>
        <w:t> </w:t>
      </w:r>
      <w:bookmarkEnd w:id="25"/>
      <w:r>
        <w:rPr/>
        <w:t>:</w:t>
      </w:r>
    </w:p>
    <w:p>
      <w:pPr>
        <w:pStyle w:val="BodyText"/>
        <w:spacing w:before="6"/>
        <w:rPr>
          <w:b/>
          <w:sz w:val="29"/>
        </w:rPr>
      </w:pPr>
    </w:p>
    <w:p>
      <w:pPr>
        <w:pStyle w:val="ListParagraph"/>
        <w:numPr>
          <w:ilvl w:val="2"/>
          <w:numId w:val="18"/>
        </w:numPr>
        <w:tabs>
          <w:tab w:pos="1339" w:val="left" w:leader="none"/>
        </w:tabs>
        <w:spacing w:line="240" w:lineRule="auto" w:before="0" w:after="0"/>
        <w:ind w:left="1339" w:right="0" w:hanging="664"/>
        <w:jc w:val="left"/>
        <w:rPr>
          <w:b/>
          <w:sz w:val="24"/>
        </w:rPr>
      </w:pPr>
      <w:bookmarkStart w:name="_TOC_250055" w:id="26"/>
      <w:r>
        <w:rPr>
          <w:b/>
          <w:sz w:val="24"/>
        </w:rPr>
        <w:t>Situation géographique</w:t>
      </w:r>
      <w:r>
        <w:rPr>
          <w:b/>
          <w:spacing w:val="1"/>
          <w:sz w:val="24"/>
        </w:rPr>
        <w:t> </w:t>
      </w:r>
      <w:bookmarkEnd w:id="26"/>
      <w:r>
        <w:rPr>
          <w:b/>
          <w:sz w:val="24"/>
        </w:rPr>
        <w:t>:</w:t>
      </w:r>
    </w:p>
    <w:p>
      <w:pPr>
        <w:pStyle w:val="BodyText"/>
        <w:spacing w:before="9"/>
        <w:rPr>
          <w:b/>
          <w:sz w:val="28"/>
        </w:rPr>
      </w:pPr>
    </w:p>
    <w:p>
      <w:pPr>
        <w:pStyle w:val="BodyText"/>
        <w:spacing w:line="360" w:lineRule="auto"/>
        <w:ind w:left="675" w:right="1413" w:firstLine="707"/>
        <w:jc w:val="both"/>
      </w:pPr>
      <w:r>
        <w:rPr>
          <w:spacing w:val="-4"/>
        </w:rPr>
        <w:t>La </w:t>
      </w:r>
      <w:r>
        <w:rPr/>
        <w:t>wilaya de Guelma se situe au Nord-Est de l’Algérie à 290 m d'altitude. Elle s’étend de39</w:t>
      </w:r>
      <w:r>
        <w:rPr>
          <w:rFonts w:ascii="Calibri" w:hAnsi="Calibri"/>
        </w:rPr>
        <w:t>⁰ </w:t>
      </w:r>
      <w:r>
        <w:rPr/>
        <w:t>au 40</w:t>
      </w:r>
      <w:r>
        <w:rPr>
          <w:rFonts w:ascii="Calibri" w:hAnsi="Calibri"/>
        </w:rPr>
        <w:t>⁰ </w:t>
      </w:r>
      <w:r>
        <w:rPr/>
        <w:t>de latitude de Nord  et  du  </w:t>
      </w:r>
      <w:r>
        <w:rPr>
          <w:spacing w:val="3"/>
        </w:rPr>
        <w:t>5</w:t>
      </w:r>
      <w:r>
        <w:rPr>
          <w:rFonts w:ascii="Calibri" w:hAnsi="Calibri"/>
          <w:spacing w:val="3"/>
        </w:rPr>
        <w:t>⁰ </w:t>
      </w:r>
      <w:r>
        <w:rPr/>
        <w:t>au  6</w:t>
      </w:r>
      <w:r>
        <w:rPr>
          <w:rFonts w:ascii="Calibri" w:hAnsi="Calibri"/>
        </w:rPr>
        <w:t>⁰ </w:t>
      </w:r>
      <w:r>
        <w:rPr>
          <w:spacing w:val="-3"/>
        </w:rPr>
        <w:t>de  </w:t>
      </w:r>
      <w:r>
        <w:rPr/>
        <w:t>longitude  Est.  Elle occupe une  position géographique stratégique entre les pôles industriels du Nord (Annaba et Skikda), les centres d’échanges au Sud (Oum El Bouaghi et Tébessa) et </w:t>
      </w:r>
      <w:r>
        <w:rPr>
          <w:spacing w:val="-3"/>
        </w:rPr>
        <w:t>de </w:t>
      </w:r>
      <w:r>
        <w:rPr/>
        <w:t>proximité du territoire tunisien à</w:t>
      </w:r>
      <w:r>
        <w:rPr>
          <w:spacing w:val="1"/>
        </w:rPr>
        <w:t> </w:t>
      </w:r>
      <w:r>
        <w:rPr/>
        <w:t>l’Est.</w:t>
      </w:r>
    </w:p>
    <w:p>
      <w:pPr>
        <w:pStyle w:val="BodyText"/>
        <w:spacing w:before="200"/>
        <w:ind w:left="675"/>
      </w:pPr>
      <w:r>
        <w:rPr/>
        <w:t>Elle couvre une superficie de 4101 km² et limitée par:</w:t>
      </w:r>
    </w:p>
    <w:p>
      <w:pPr>
        <w:pStyle w:val="BodyText"/>
        <w:spacing w:before="7"/>
        <w:rPr>
          <w:sz w:val="29"/>
        </w:rPr>
      </w:pPr>
    </w:p>
    <w:p>
      <w:pPr>
        <w:pStyle w:val="ListParagraph"/>
        <w:numPr>
          <w:ilvl w:val="0"/>
          <w:numId w:val="19"/>
        </w:numPr>
        <w:tabs>
          <w:tab w:pos="820" w:val="left" w:leader="none"/>
        </w:tabs>
        <w:spacing w:line="240" w:lineRule="auto" w:before="0" w:after="0"/>
        <w:ind w:left="819" w:right="0" w:hanging="144"/>
        <w:jc w:val="left"/>
        <w:rPr>
          <w:sz w:val="24"/>
        </w:rPr>
      </w:pPr>
      <w:r>
        <w:rPr>
          <w:spacing w:val="-6"/>
          <w:sz w:val="24"/>
        </w:rPr>
        <w:t>La </w:t>
      </w:r>
      <w:r>
        <w:rPr>
          <w:sz w:val="24"/>
        </w:rPr>
        <w:t>wilaya d’Annaba, au</w:t>
      </w:r>
      <w:r>
        <w:rPr>
          <w:spacing w:val="9"/>
          <w:sz w:val="24"/>
        </w:rPr>
        <w:t> </w:t>
      </w:r>
      <w:r>
        <w:rPr>
          <w:sz w:val="24"/>
        </w:rPr>
        <w:t>Nord.</w:t>
      </w:r>
    </w:p>
    <w:p>
      <w:pPr>
        <w:pStyle w:val="BodyText"/>
        <w:spacing w:before="2"/>
        <w:rPr>
          <w:sz w:val="29"/>
        </w:rPr>
      </w:pPr>
    </w:p>
    <w:p>
      <w:pPr>
        <w:pStyle w:val="ListParagraph"/>
        <w:numPr>
          <w:ilvl w:val="0"/>
          <w:numId w:val="19"/>
        </w:numPr>
        <w:tabs>
          <w:tab w:pos="820" w:val="left" w:leader="none"/>
        </w:tabs>
        <w:spacing w:line="240" w:lineRule="auto" w:before="0" w:after="0"/>
        <w:ind w:left="819" w:right="0" w:hanging="144"/>
        <w:jc w:val="left"/>
        <w:rPr>
          <w:sz w:val="24"/>
        </w:rPr>
      </w:pPr>
      <w:r>
        <w:rPr>
          <w:spacing w:val="-6"/>
          <w:sz w:val="24"/>
        </w:rPr>
        <w:t>La </w:t>
      </w:r>
      <w:r>
        <w:rPr>
          <w:sz w:val="24"/>
        </w:rPr>
        <w:t>wilaya de Skikda, au</w:t>
      </w:r>
      <w:r>
        <w:rPr>
          <w:spacing w:val="10"/>
          <w:sz w:val="24"/>
        </w:rPr>
        <w:t> </w:t>
      </w:r>
      <w:r>
        <w:rPr>
          <w:sz w:val="24"/>
        </w:rPr>
        <w:t>Nord-Ouest.</w:t>
      </w:r>
    </w:p>
    <w:p>
      <w:pPr>
        <w:pStyle w:val="BodyText"/>
        <w:spacing w:before="6"/>
        <w:rPr>
          <w:sz w:val="29"/>
        </w:rPr>
      </w:pPr>
    </w:p>
    <w:p>
      <w:pPr>
        <w:pStyle w:val="ListParagraph"/>
        <w:numPr>
          <w:ilvl w:val="0"/>
          <w:numId w:val="19"/>
        </w:numPr>
        <w:tabs>
          <w:tab w:pos="820" w:val="left" w:leader="none"/>
        </w:tabs>
        <w:spacing w:line="240" w:lineRule="auto" w:before="0" w:after="0"/>
        <w:ind w:left="819" w:right="0" w:hanging="144"/>
        <w:jc w:val="left"/>
        <w:rPr>
          <w:sz w:val="24"/>
        </w:rPr>
      </w:pPr>
      <w:r>
        <w:rPr>
          <w:spacing w:val="-6"/>
          <w:sz w:val="24"/>
        </w:rPr>
        <w:t>La </w:t>
      </w:r>
      <w:r>
        <w:rPr>
          <w:sz w:val="24"/>
        </w:rPr>
        <w:t>wilaya de Constantine, à</w:t>
      </w:r>
      <w:r>
        <w:rPr>
          <w:spacing w:val="12"/>
          <w:sz w:val="24"/>
        </w:rPr>
        <w:t> </w:t>
      </w:r>
      <w:r>
        <w:rPr>
          <w:sz w:val="24"/>
        </w:rPr>
        <w:t>l’Ouest.</w:t>
      </w:r>
    </w:p>
    <w:p>
      <w:pPr>
        <w:pStyle w:val="BodyText"/>
        <w:spacing w:before="3"/>
        <w:rPr>
          <w:sz w:val="29"/>
        </w:rPr>
      </w:pPr>
    </w:p>
    <w:p>
      <w:pPr>
        <w:pStyle w:val="ListParagraph"/>
        <w:numPr>
          <w:ilvl w:val="0"/>
          <w:numId w:val="19"/>
        </w:numPr>
        <w:tabs>
          <w:tab w:pos="820" w:val="left" w:leader="none"/>
        </w:tabs>
        <w:spacing w:line="240" w:lineRule="auto" w:before="0" w:after="0"/>
        <w:ind w:left="819" w:right="0" w:hanging="144"/>
        <w:jc w:val="left"/>
        <w:rPr>
          <w:sz w:val="24"/>
        </w:rPr>
      </w:pPr>
      <w:r>
        <w:rPr>
          <w:spacing w:val="-6"/>
          <w:sz w:val="24"/>
        </w:rPr>
        <w:t>La </w:t>
      </w:r>
      <w:r>
        <w:rPr>
          <w:sz w:val="24"/>
        </w:rPr>
        <w:t>wilaya d’Oum El Bouaghi, au</w:t>
      </w:r>
      <w:r>
        <w:rPr>
          <w:spacing w:val="9"/>
          <w:sz w:val="24"/>
        </w:rPr>
        <w:t> </w:t>
      </w:r>
      <w:r>
        <w:rPr>
          <w:sz w:val="24"/>
        </w:rPr>
        <w:t>Sud.</w:t>
      </w:r>
    </w:p>
    <w:p>
      <w:pPr>
        <w:pStyle w:val="BodyText"/>
        <w:spacing w:before="6"/>
        <w:rPr>
          <w:sz w:val="29"/>
        </w:rPr>
      </w:pPr>
    </w:p>
    <w:p>
      <w:pPr>
        <w:pStyle w:val="ListParagraph"/>
        <w:numPr>
          <w:ilvl w:val="0"/>
          <w:numId w:val="19"/>
        </w:numPr>
        <w:tabs>
          <w:tab w:pos="820" w:val="left" w:leader="none"/>
        </w:tabs>
        <w:spacing w:line="240" w:lineRule="auto" w:before="0" w:after="0"/>
        <w:ind w:left="819" w:right="0" w:hanging="144"/>
        <w:jc w:val="left"/>
        <w:rPr>
          <w:sz w:val="24"/>
        </w:rPr>
      </w:pPr>
      <w:r>
        <w:rPr>
          <w:spacing w:val="-6"/>
          <w:sz w:val="24"/>
        </w:rPr>
        <w:t>La </w:t>
      </w:r>
      <w:r>
        <w:rPr>
          <w:sz w:val="24"/>
        </w:rPr>
        <w:t>wilaya de Souk Ahras, à</w:t>
      </w:r>
      <w:r>
        <w:rPr>
          <w:spacing w:val="15"/>
          <w:sz w:val="24"/>
        </w:rPr>
        <w:t> </w:t>
      </w:r>
      <w:r>
        <w:rPr>
          <w:sz w:val="24"/>
        </w:rPr>
        <w:t>l’Est.</w:t>
      </w:r>
    </w:p>
    <w:p>
      <w:pPr>
        <w:pStyle w:val="BodyText"/>
        <w:spacing w:before="2"/>
        <w:rPr>
          <w:sz w:val="29"/>
        </w:rPr>
      </w:pPr>
    </w:p>
    <w:p>
      <w:pPr>
        <w:pStyle w:val="ListParagraph"/>
        <w:numPr>
          <w:ilvl w:val="0"/>
          <w:numId w:val="19"/>
        </w:numPr>
        <w:tabs>
          <w:tab w:pos="820" w:val="left" w:leader="none"/>
        </w:tabs>
        <w:spacing w:line="240" w:lineRule="auto" w:before="0" w:after="0"/>
        <w:ind w:left="819" w:right="0" w:hanging="144"/>
        <w:jc w:val="left"/>
        <w:rPr>
          <w:sz w:val="24"/>
        </w:rPr>
      </w:pPr>
      <w:r>
        <w:rPr>
          <w:spacing w:val="-6"/>
          <w:sz w:val="24"/>
        </w:rPr>
        <w:t>La </w:t>
      </w:r>
      <w:r>
        <w:rPr>
          <w:sz w:val="24"/>
        </w:rPr>
        <w:t>wilaya d’El Taref, au</w:t>
      </w:r>
      <w:r>
        <w:rPr>
          <w:spacing w:val="9"/>
          <w:sz w:val="24"/>
        </w:rPr>
        <w:t> </w:t>
      </w:r>
      <w:r>
        <w:rPr>
          <w:sz w:val="24"/>
        </w:rPr>
        <w:t>Nord-Est.</w:t>
      </w:r>
    </w:p>
    <w:p>
      <w:pPr>
        <w:pStyle w:val="BodyText"/>
        <w:spacing w:before="7"/>
        <w:rPr>
          <w:sz w:val="29"/>
        </w:rPr>
      </w:pPr>
    </w:p>
    <w:p>
      <w:pPr>
        <w:pStyle w:val="BodyText"/>
        <w:spacing w:line="360" w:lineRule="auto"/>
        <w:ind w:left="675" w:right="1419" w:firstLine="707"/>
        <w:jc w:val="both"/>
      </w:pPr>
      <w:r>
        <w:rPr/>
        <w:t>Elle englobe 34 communes (Figure 03) totalisant une population de 482430 habitants (au dernier recensement de 2008).La densité moyenne de cette population est de 118 habitants/km², dont 26% sont concentrés au niveau du centre de la wilaya et plus de 55% vivent dans le zones rurales et éparses. (ONS, 2011).</w:t>
      </w:r>
    </w:p>
    <w:p>
      <w:pPr>
        <w:pStyle w:val="BodyText"/>
        <w:rPr>
          <w:sz w:val="20"/>
        </w:rPr>
      </w:pPr>
    </w:p>
    <w:p>
      <w:pPr>
        <w:pStyle w:val="BodyText"/>
        <w:spacing w:before="1"/>
        <w:rPr>
          <w:sz w:val="16"/>
        </w:rPr>
      </w:pPr>
      <w:r>
        <w:rPr/>
        <w:pict>
          <v:group style="position:absolute;margin-left:128.006958pt;margin-top:11.719061pt;width:301.3pt;height:149.3pt;mso-position-horizontal-relative:page;mso-position-vertical-relative:paragraph;z-index:-784;mso-wrap-distance-left:0;mso-wrap-distance-right:0" coordorigin="2560,234" coordsize="6026,2986">
            <v:shape style="position:absolute;left:2560;top:234;width:6026;height:2986" type="#_x0000_t75" stroked="false">
              <v:imagedata r:id="rId49" o:title=""/>
            </v:shape>
            <v:shape style="position:absolute;left:7665;top:2807;width:389;height:178" type="#_x0000_t202" filled="false" stroked="false">
              <v:textbox inset="0,0,0,0">
                <w:txbxContent>
                  <w:p>
                    <w:pPr>
                      <w:spacing w:line="82" w:lineRule="exact" w:before="0"/>
                      <w:ind w:left="0" w:right="0" w:firstLine="0"/>
                      <w:jc w:val="left"/>
                      <w:rPr>
                        <w:rFonts w:ascii="Calibri"/>
                        <w:b/>
                        <w:sz w:val="8"/>
                      </w:rPr>
                    </w:pPr>
                    <w:r>
                      <w:rPr>
                        <w:rFonts w:ascii="Calibri"/>
                        <w:b/>
                        <w:w w:val="145"/>
                        <w:sz w:val="8"/>
                      </w:rPr>
                      <w:t>Zone</w:t>
                    </w:r>
                  </w:p>
                  <w:p>
                    <w:pPr>
                      <w:spacing w:line="96" w:lineRule="exact" w:before="0"/>
                      <w:ind w:left="0" w:right="0" w:firstLine="0"/>
                      <w:jc w:val="left"/>
                      <w:rPr>
                        <w:rFonts w:ascii="Calibri" w:hAnsi="Calibri"/>
                        <w:b/>
                        <w:sz w:val="8"/>
                      </w:rPr>
                    </w:pPr>
                    <w:r>
                      <w:rPr>
                        <w:rFonts w:ascii="Calibri" w:hAnsi="Calibri"/>
                        <w:b/>
                        <w:w w:val="145"/>
                        <w:sz w:val="8"/>
                      </w:rPr>
                      <w:t>d’étude</w:t>
                    </w:r>
                  </w:p>
                </w:txbxContent>
              </v:textbox>
              <w10:wrap type="none"/>
            </v:shape>
            <w10:wrap type="topAndBottom"/>
          </v:group>
        </w:pict>
      </w:r>
    </w:p>
    <w:p>
      <w:pPr>
        <w:pStyle w:val="BodyText"/>
        <w:spacing w:before="1"/>
        <w:rPr>
          <w:sz w:val="34"/>
        </w:rPr>
      </w:pPr>
    </w:p>
    <w:p>
      <w:pPr>
        <w:pStyle w:val="BodyText"/>
        <w:ind w:left="2203"/>
      </w:pPr>
      <w:r>
        <w:rPr>
          <w:b/>
        </w:rPr>
        <w:t>Figure 03: </w:t>
      </w:r>
      <w:r>
        <w:rPr/>
        <w:t>La situation géographique de la wilaya de Guelma.</w:t>
      </w:r>
    </w:p>
    <w:p>
      <w:pPr>
        <w:spacing w:after="0"/>
        <w:sectPr>
          <w:headerReference w:type="default" r:id="rId47"/>
          <w:footerReference w:type="default" r:id="rId48"/>
          <w:pgSz w:w="11900" w:h="16840"/>
          <w:pgMar w:header="727" w:footer="1061" w:top="1180" w:bottom="1260" w:left="740" w:right="0"/>
          <w:pgNumType w:start="18"/>
        </w:sectPr>
      </w:pPr>
    </w:p>
    <w:p>
      <w:pPr>
        <w:pStyle w:val="BodyText"/>
        <w:spacing w:before="4"/>
        <w:rPr>
          <w:sz w:val="16"/>
        </w:rPr>
      </w:pPr>
    </w:p>
    <w:p>
      <w:pPr>
        <w:pStyle w:val="Heading4"/>
        <w:numPr>
          <w:ilvl w:val="2"/>
          <w:numId w:val="18"/>
        </w:numPr>
        <w:tabs>
          <w:tab w:pos="1339" w:val="left" w:leader="none"/>
        </w:tabs>
        <w:spacing w:line="240" w:lineRule="auto" w:before="90" w:after="0"/>
        <w:ind w:left="1339" w:right="0" w:hanging="664"/>
        <w:jc w:val="left"/>
      </w:pPr>
      <w:bookmarkStart w:name="_TOC_250054" w:id="27"/>
      <w:r>
        <w:rPr/>
        <w:t>Hydrologie</w:t>
      </w:r>
      <w:r>
        <w:rPr>
          <w:spacing w:val="2"/>
        </w:rPr>
        <w:t> </w:t>
      </w:r>
      <w:bookmarkEnd w:id="27"/>
      <w:r>
        <w:rPr/>
        <w:t>:</w:t>
      </w:r>
    </w:p>
    <w:p>
      <w:pPr>
        <w:pStyle w:val="BodyText"/>
        <w:spacing w:before="6"/>
        <w:rPr>
          <w:b/>
          <w:sz w:val="29"/>
        </w:rPr>
      </w:pPr>
    </w:p>
    <w:p>
      <w:pPr>
        <w:pStyle w:val="Heading4"/>
      </w:pPr>
      <w:bookmarkStart w:name="_TOC_250053" w:id="28"/>
      <w:bookmarkEnd w:id="28"/>
      <w:r>
        <w:rPr/>
        <w:t>II. 1.2.1. Les forages :</w:t>
      </w:r>
    </w:p>
    <w:p>
      <w:pPr>
        <w:pStyle w:val="BodyText"/>
        <w:spacing w:before="9"/>
        <w:rPr>
          <w:b/>
          <w:sz w:val="28"/>
        </w:rPr>
      </w:pPr>
    </w:p>
    <w:p>
      <w:pPr>
        <w:pStyle w:val="BodyText"/>
        <w:spacing w:line="360" w:lineRule="auto"/>
        <w:ind w:left="675" w:right="1421" w:firstLine="707"/>
        <w:jc w:val="both"/>
      </w:pPr>
      <w:r>
        <w:rPr/>
        <w:t>D'après le bilan actuel de la D.H.W de Guelma, on a dénombré près de 23 forages répartis à travers la plaine, mobilisant annuellement un volume total de 12,8 Hm³/an. Ils sont essentiellement destinés à l'alimentation en eau potable et aussi pour l'industrie et l'agricole. (D.H.W.G, 2008, in Aouissi, 2010).</w:t>
      </w:r>
    </w:p>
    <w:p>
      <w:pPr>
        <w:pStyle w:val="Heading4"/>
        <w:numPr>
          <w:ilvl w:val="3"/>
          <w:numId w:val="18"/>
        </w:numPr>
        <w:tabs>
          <w:tab w:pos="1519" w:val="left" w:leader="none"/>
        </w:tabs>
        <w:spacing w:line="240" w:lineRule="auto" w:before="204" w:after="0"/>
        <w:ind w:left="1518" w:right="0" w:hanging="843"/>
        <w:jc w:val="left"/>
      </w:pPr>
      <w:bookmarkStart w:name="_TOC_250052" w:id="29"/>
      <w:r>
        <w:rPr/>
        <w:t>Les puits</w:t>
      </w:r>
      <w:r>
        <w:rPr>
          <w:spacing w:val="-8"/>
        </w:rPr>
        <w:t> </w:t>
      </w:r>
      <w:bookmarkEnd w:id="29"/>
      <w:r>
        <w:rPr/>
        <w:t>:</w:t>
      </w:r>
    </w:p>
    <w:p>
      <w:pPr>
        <w:pStyle w:val="BodyText"/>
        <w:spacing w:before="2"/>
        <w:rPr>
          <w:b/>
          <w:sz w:val="29"/>
        </w:rPr>
      </w:pPr>
    </w:p>
    <w:p>
      <w:pPr>
        <w:pStyle w:val="BodyText"/>
        <w:spacing w:line="360" w:lineRule="auto" w:before="1"/>
        <w:ind w:left="675" w:right="1410" w:firstLine="707"/>
        <w:jc w:val="both"/>
      </w:pPr>
      <w:r>
        <w:rPr/>
        <w:t>A travers la superficie de la zone d'étude, il existe un nombre considérable de puits, prés de 32 captent les surfaces de la nappe superficielles, dont le rôle est limité uniquement à satisfaire les besoins domestiques et l'irrigation de quelques surfaces agricoles, les débits d'exploitations sont peu signifiants. Ces puits mobilisent annuellement un volume de 0.37 Hm³/an. (D.H.W.G, 2008, in Aouissi, 2010).</w:t>
      </w:r>
    </w:p>
    <w:p>
      <w:pPr>
        <w:pStyle w:val="Heading4"/>
        <w:numPr>
          <w:ilvl w:val="3"/>
          <w:numId w:val="18"/>
        </w:numPr>
        <w:tabs>
          <w:tab w:pos="1519" w:val="left" w:leader="none"/>
        </w:tabs>
        <w:spacing w:line="240" w:lineRule="auto" w:before="201" w:after="0"/>
        <w:ind w:left="1518" w:right="0" w:hanging="843"/>
        <w:jc w:val="left"/>
      </w:pPr>
      <w:bookmarkStart w:name="_TOC_250051" w:id="30"/>
      <w:r>
        <w:rPr/>
        <w:t>Les sources</w:t>
      </w:r>
      <w:r>
        <w:rPr>
          <w:spacing w:val="-5"/>
        </w:rPr>
        <w:t> </w:t>
      </w:r>
      <w:bookmarkEnd w:id="30"/>
      <w:r>
        <w:rPr/>
        <w:t>:</w:t>
      </w:r>
    </w:p>
    <w:p>
      <w:pPr>
        <w:pStyle w:val="BodyText"/>
        <w:spacing w:before="2"/>
        <w:rPr>
          <w:b/>
          <w:sz w:val="29"/>
        </w:rPr>
      </w:pPr>
    </w:p>
    <w:p>
      <w:pPr>
        <w:pStyle w:val="BodyText"/>
        <w:spacing w:line="360" w:lineRule="auto"/>
        <w:ind w:left="675" w:right="1416" w:firstLine="707"/>
        <w:jc w:val="both"/>
      </w:pPr>
      <w:r>
        <w:rPr/>
        <w:t>Il existe de près de 19 sources, dont la plus part sont captées. Le débit de ces sources généralement varie entre 0,1 à 3 l/s Ces sources mobilisent annuellement un volume de 0.57 Hm³/an. (D.H.W.G, 2008, in Aouissi, 2010).</w:t>
      </w:r>
    </w:p>
    <w:p>
      <w:pPr>
        <w:pStyle w:val="Heading4"/>
        <w:spacing w:before="202"/>
      </w:pPr>
      <w:bookmarkStart w:name="_TOC_250050" w:id="31"/>
      <w:bookmarkEnd w:id="31"/>
      <w:r>
        <w:rPr/>
        <w:t>II.1.3. Couverture végétale :</w:t>
      </w:r>
    </w:p>
    <w:p>
      <w:pPr>
        <w:pStyle w:val="BodyText"/>
        <w:spacing w:before="2"/>
        <w:rPr>
          <w:b/>
          <w:sz w:val="29"/>
        </w:rPr>
      </w:pPr>
    </w:p>
    <w:p>
      <w:pPr>
        <w:pStyle w:val="BodyText"/>
        <w:spacing w:line="360" w:lineRule="auto"/>
        <w:ind w:left="675" w:right="1410" w:firstLine="707"/>
        <w:jc w:val="both"/>
      </w:pPr>
      <w:r>
        <w:rPr/>
        <w:t>Une superficie de pacages et de parcours estimée à53.473 ha, soit 14,50% de la superficie totale de la wilaya et 20,10% de la(S.A.T) </w:t>
      </w:r>
      <w:r>
        <w:rPr>
          <w:b/>
        </w:rPr>
        <w:t>(</w:t>
      </w:r>
      <w:r>
        <w:rPr/>
        <w:t>Surface agricole totale). Les terres non productives sont de26.405ha, soit 7,16% de la superficie totale de la wilaya et 9,92% de la (S.A.T).</w:t>
      </w:r>
    </w:p>
    <w:p>
      <w:pPr>
        <w:pStyle w:val="BodyText"/>
        <w:spacing w:line="360" w:lineRule="auto" w:before="199"/>
        <w:ind w:left="675" w:right="1414" w:firstLine="707"/>
        <w:jc w:val="both"/>
      </w:pPr>
      <w:r>
        <w:rPr>
          <w:spacing w:val="-4"/>
        </w:rPr>
        <w:t>La</w:t>
      </w:r>
      <w:r>
        <w:rPr>
          <w:spacing w:val="52"/>
        </w:rPr>
        <w:t> </w:t>
      </w:r>
      <w:r>
        <w:rPr/>
        <w:t>superficie de couverture forestière totale est de 105.395 ha, soit 28% de la superficie totale de la wilaya. </w:t>
      </w:r>
      <w:r>
        <w:rPr>
          <w:spacing w:val="-4"/>
        </w:rPr>
        <w:t>Le </w:t>
      </w:r>
      <w:r>
        <w:rPr/>
        <w:t>paysage forestier est discontinu et hétérogène confiné dans des massifs répartis d’Ouest en Est. </w:t>
      </w:r>
      <w:r>
        <w:rPr>
          <w:spacing w:val="-4"/>
        </w:rPr>
        <w:t>Les </w:t>
      </w:r>
      <w:r>
        <w:rPr/>
        <w:t>grands espaces de terrains à vocation forestière sont dans la partie Sud-est. ( Zouaidia, 2006).</w:t>
      </w:r>
    </w:p>
    <w:p>
      <w:pPr>
        <w:pStyle w:val="Heading4"/>
        <w:numPr>
          <w:ilvl w:val="1"/>
          <w:numId w:val="20"/>
        </w:numPr>
        <w:tabs>
          <w:tab w:pos="1160" w:val="left" w:leader="none"/>
        </w:tabs>
        <w:spacing w:line="240" w:lineRule="auto" w:before="203" w:after="0"/>
        <w:ind w:left="1159" w:right="0" w:hanging="484"/>
        <w:jc w:val="left"/>
      </w:pPr>
      <w:bookmarkStart w:name="_TOC_250049" w:id="32"/>
      <w:r>
        <w:rPr/>
        <w:t>Climatologie</w:t>
      </w:r>
      <w:r>
        <w:rPr>
          <w:spacing w:val="2"/>
        </w:rPr>
        <w:t> </w:t>
      </w:r>
      <w:bookmarkEnd w:id="32"/>
      <w:r>
        <w:rPr/>
        <w:t>:</w:t>
      </w:r>
    </w:p>
    <w:p>
      <w:pPr>
        <w:pStyle w:val="BodyText"/>
        <w:spacing w:before="10"/>
        <w:rPr>
          <w:b/>
          <w:sz w:val="28"/>
        </w:rPr>
      </w:pPr>
    </w:p>
    <w:p>
      <w:pPr>
        <w:pStyle w:val="BodyText"/>
        <w:spacing w:line="362" w:lineRule="auto"/>
        <w:ind w:left="675" w:right="1414" w:firstLine="707"/>
        <w:jc w:val="both"/>
      </w:pPr>
      <w:r>
        <w:rPr/>
        <w:t>L’étude des données climatologiques est une opération indispensable dans toutes les approches, car elle facilite la compréhension des mécanismes d’alimentation et de circulation</w:t>
      </w:r>
    </w:p>
    <w:p>
      <w:pPr>
        <w:spacing w:after="0" w:line="362" w:lineRule="auto"/>
        <w:jc w:val="both"/>
        <w:sectPr>
          <w:pgSz w:w="11900" w:h="16840"/>
          <w:pgMar w:header="727" w:footer="1061" w:top="1180" w:bottom="1260" w:left="740" w:right="0"/>
        </w:sectPr>
      </w:pPr>
    </w:p>
    <w:p>
      <w:pPr>
        <w:pStyle w:val="BodyText"/>
        <w:rPr>
          <w:sz w:val="16"/>
        </w:rPr>
      </w:pPr>
    </w:p>
    <w:p>
      <w:pPr>
        <w:pStyle w:val="BodyText"/>
        <w:spacing w:line="360" w:lineRule="auto" w:before="90"/>
        <w:ind w:left="675" w:right="1426"/>
        <w:jc w:val="both"/>
      </w:pPr>
      <w:r>
        <w:rPr/>
        <w:t>des eaux naturelles. En revanche, il est important d’étudier les données climatiques afin de pouvoir déterminer le bilan hydrologique, à savoir les précipitations, l’évapotranspiration, le ruissellement et l’infiltration.</w:t>
      </w:r>
    </w:p>
    <w:p>
      <w:pPr>
        <w:pStyle w:val="Heading4"/>
        <w:numPr>
          <w:ilvl w:val="2"/>
          <w:numId w:val="20"/>
        </w:numPr>
        <w:tabs>
          <w:tab w:pos="1339" w:val="left" w:leader="none"/>
        </w:tabs>
        <w:spacing w:line="240" w:lineRule="auto" w:before="205" w:after="0"/>
        <w:ind w:left="1339" w:right="0" w:hanging="664"/>
        <w:jc w:val="left"/>
      </w:pPr>
      <w:bookmarkStart w:name="_TOC_250048" w:id="33"/>
      <w:r>
        <w:rPr/>
        <w:t>Pluviométrie</w:t>
      </w:r>
      <w:r>
        <w:rPr>
          <w:spacing w:val="2"/>
        </w:rPr>
        <w:t> </w:t>
      </w:r>
      <w:bookmarkEnd w:id="33"/>
      <w:r>
        <w:rPr/>
        <w:t>:</w:t>
      </w:r>
    </w:p>
    <w:p>
      <w:pPr>
        <w:pStyle w:val="BodyText"/>
        <w:spacing w:before="10"/>
        <w:rPr>
          <w:b/>
          <w:sz w:val="28"/>
        </w:rPr>
      </w:pPr>
    </w:p>
    <w:p>
      <w:pPr>
        <w:pStyle w:val="BodyText"/>
        <w:spacing w:line="362" w:lineRule="auto"/>
        <w:ind w:left="675" w:right="1409" w:firstLine="707"/>
        <w:jc w:val="both"/>
      </w:pPr>
      <w:r>
        <w:rPr/>
        <w:t>La pluie est un facteur climatique essentiel, conditionnant l’écoulement saisonnier et par conséquent le régime des cours d’eau.</w:t>
      </w:r>
    </w:p>
    <w:p>
      <w:pPr>
        <w:pStyle w:val="Heading4"/>
        <w:numPr>
          <w:ilvl w:val="3"/>
          <w:numId w:val="20"/>
        </w:numPr>
        <w:tabs>
          <w:tab w:pos="1519" w:val="left" w:leader="none"/>
        </w:tabs>
        <w:spacing w:line="240" w:lineRule="auto" w:before="198" w:after="0"/>
        <w:ind w:left="1518" w:right="0" w:hanging="843"/>
        <w:jc w:val="left"/>
      </w:pPr>
      <w:bookmarkStart w:name="_TOC_250047" w:id="34"/>
      <w:bookmarkEnd w:id="34"/>
      <w:r>
        <w:rPr/>
        <w:t>Précipitations annuelles :</w:t>
      </w:r>
    </w:p>
    <w:p>
      <w:pPr>
        <w:pStyle w:val="BodyText"/>
        <w:spacing w:before="2"/>
        <w:rPr>
          <w:b/>
          <w:sz w:val="29"/>
        </w:rPr>
      </w:pPr>
    </w:p>
    <w:p>
      <w:pPr>
        <w:pStyle w:val="BodyText"/>
        <w:spacing w:line="360" w:lineRule="auto" w:before="1"/>
        <w:ind w:left="675" w:right="1416" w:firstLine="707"/>
        <w:jc w:val="both"/>
      </w:pPr>
      <w:r>
        <w:rPr/>
        <w:pict>
          <v:group style="position:absolute;margin-left:96.150337pt;margin-top:92.058723pt;width:403pt;height:249.8pt;mso-position-horizontal-relative:page;mso-position-vertical-relative:paragraph;z-index:1336" coordorigin="1923,1841" coordsize="8060,4996">
            <v:shape style="position:absolute;left:3010;top:2066;width:6548;height:3591" type="#_x0000_t75" stroked="false">
              <v:imagedata r:id="rId50" o:title=""/>
            </v:shape>
            <v:shape style="position:absolute;left:2993;top:2239;width:6352;height:3443" coordorigin="2993,2239" coordsize="6352,3443" path="m3053,5621l2991,5621m3053,5283l2991,5283m3053,4948l2991,4948m3053,4608l2991,4608m3053,4272l2991,4272m3053,3932l2991,3932m3053,3597l2991,3597m3053,3257l2991,3257m3053,2921l2991,2921m3053,2581l2991,2581m3053,2246l2991,2246m3051,5623l3051,5686m3503,5623l3503,5686m3950,5623l3950,5686m4398,5623l4398,5686m4850,5623l4850,5686m5297,5623l5297,5686m5745,5623l5745,5686m6197,5623l6197,5686m6645,5623l6645,5686m7092,5623l7092,5686m7544,5623l7544,5686m7992,5623l7992,5686m8439,5623l8439,5686m8891,5623l8891,5686m9339,5623l9339,5686e" filled="false" stroked="true" strokeweight=".999328pt" strokecolor="#858585">
              <v:path arrowok="t"/>
              <v:stroke dashstyle="solid"/>
            </v:shape>
            <v:shape style="position:absolute;left:2970;top:5877;width:347;height:338" type="#_x0000_t75" stroked="false">
              <v:imagedata r:id="rId51" o:title=""/>
            </v:shape>
            <v:shape style="position:absolute;left:3420;top:5877;width:334;height:338" type="#_x0000_t75" stroked="false">
              <v:imagedata r:id="rId52" o:title=""/>
            </v:shape>
            <v:shape style="position:absolute;left:3869;top:5871;width:338;height:344" type="#_x0000_t75" stroked="false">
              <v:imagedata r:id="rId53" o:title=""/>
            </v:shape>
            <v:shape style="position:absolute;left:4318;top:5869;width:333;height:346" type="#_x0000_t75" stroked="false">
              <v:imagedata r:id="rId54" o:title=""/>
            </v:shape>
            <v:shape style="position:absolute;left:4767;top:5867;width:336;height:348" type="#_x0000_t75" stroked="false">
              <v:imagedata r:id="rId55" o:title=""/>
            </v:shape>
            <v:shape style="position:absolute;left:5217;top:5861;width:314;height:354" type="#_x0000_t75" stroked="false">
              <v:imagedata r:id="rId56" o:title=""/>
            </v:shape>
            <v:shape style="position:absolute;left:5666;top:5873;width:338;height:342" type="#_x0000_t75" stroked="false">
              <v:imagedata r:id="rId57" o:title=""/>
            </v:shape>
            <v:shape style="position:absolute;left:6115;top:5875;width:329;height:340" type="#_x0000_t75" stroked="false">
              <v:imagedata r:id="rId58" o:title=""/>
            </v:shape>
            <v:shape style="position:absolute;left:6565;top:5873;width:334;height:342" type="#_x0000_t75" stroked="false">
              <v:imagedata r:id="rId59" o:title=""/>
            </v:shape>
            <v:shape style="position:absolute;left:7014;top:5879;width:347;height:336" type="#_x0000_t75" stroked="false">
              <v:imagedata r:id="rId60" o:title=""/>
            </v:shape>
            <v:shape style="position:absolute;left:7463;top:5877;width:347;height:338" type="#_x0000_t75" stroked="false">
              <v:imagedata r:id="rId61" o:title=""/>
            </v:shape>
            <v:shape style="position:absolute;left:7912;top:5877;width:334;height:338" type="#_x0000_t75" stroked="false">
              <v:imagedata r:id="rId62" o:title=""/>
            </v:shape>
            <v:shape style="position:absolute;left:8362;top:5871;width:338;height:344" type="#_x0000_t75" stroked="false">
              <v:imagedata r:id="rId63" o:title=""/>
            </v:shape>
            <v:shape style="position:absolute;left:8811;top:5869;width:333;height:346" type="#_x0000_t75" stroked="false">
              <v:imagedata r:id="rId64" o:title=""/>
            </v:shape>
            <v:rect style="position:absolute;left:1931;top:1857;width:8035;height:4973" filled="false" stroked="true" strokeweight=".999328pt" strokecolor="#858585">
              <v:stroke dashstyle="solid"/>
            </v:rect>
            <v:shape style="position:absolute;left:2464;top:2166;width:422;height:3577" type="#_x0000_t202" filled="false" stroked="false">
              <v:textbox inset="0,0,0,0">
                <w:txbxContent>
                  <w:p>
                    <w:pPr>
                      <w:spacing w:line="204" w:lineRule="exact" w:before="0"/>
                      <w:ind w:left="0" w:right="0" w:firstLine="0"/>
                      <w:jc w:val="left"/>
                      <w:rPr>
                        <w:rFonts w:ascii="Calibri"/>
                        <w:sz w:val="20"/>
                      </w:rPr>
                    </w:pPr>
                    <w:r>
                      <w:rPr>
                        <w:rFonts w:ascii="Calibri"/>
                        <w:sz w:val="20"/>
                      </w:rPr>
                      <w:t>1000</w:t>
                    </w:r>
                  </w:p>
                  <w:p>
                    <w:pPr>
                      <w:spacing w:before="93"/>
                      <w:ind w:left="98" w:right="0" w:firstLine="0"/>
                      <w:jc w:val="left"/>
                      <w:rPr>
                        <w:rFonts w:ascii="Calibri"/>
                        <w:sz w:val="20"/>
                      </w:rPr>
                    </w:pPr>
                    <w:r>
                      <w:rPr>
                        <w:rFonts w:ascii="Calibri"/>
                        <w:spacing w:val="-2"/>
                        <w:sz w:val="20"/>
                      </w:rPr>
                      <w:t>900</w:t>
                    </w:r>
                  </w:p>
                  <w:p>
                    <w:pPr>
                      <w:spacing w:before="94"/>
                      <w:ind w:left="98" w:right="0" w:firstLine="0"/>
                      <w:jc w:val="left"/>
                      <w:rPr>
                        <w:rFonts w:ascii="Calibri"/>
                        <w:sz w:val="20"/>
                      </w:rPr>
                    </w:pPr>
                    <w:r>
                      <w:rPr>
                        <w:rFonts w:ascii="Calibri"/>
                        <w:spacing w:val="-2"/>
                        <w:sz w:val="20"/>
                      </w:rPr>
                      <w:t>800</w:t>
                    </w:r>
                  </w:p>
                  <w:p>
                    <w:pPr>
                      <w:spacing w:before="93"/>
                      <w:ind w:left="98" w:right="0" w:firstLine="0"/>
                      <w:jc w:val="left"/>
                      <w:rPr>
                        <w:rFonts w:ascii="Calibri"/>
                        <w:sz w:val="20"/>
                      </w:rPr>
                    </w:pPr>
                    <w:r>
                      <w:rPr>
                        <w:rFonts w:ascii="Calibri"/>
                        <w:spacing w:val="-2"/>
                        <w:sz w:val="20"/>
                      </w:rPr>
                      <w:t>700</w:t>
                    </w:r>
                  </w:p>
                  <w:p>
                    <w:pPr>
                      <w:spacing w:before="94"/>
                      <w:ind w:left="98" w:right="0" w:firstLine="0"/>
                      <w:jc w:val="left"/>
                      <w:rPr>
                        <w:rFonts w:ascii="Calibri"/>
                        <w:sz w:val="20"/>
                      </w:rPr>
                    </w:pPr>
                    <w:r>
                      <w:rPr>
                        <w:rFonts w:ascii="Calibri"/>
                        <w:spacing w:val="-2"/>
                        <w:sz w:val="20"/>
                      </w:rPr>
                      <w:t>600</w:t>
                    </w:r>
                  </w:p>
                  <w:p>
                    <w:pPr>
                      <w:spacing w:before="94"/>
                      <w:ind w:left="98" w:right="0" w:firstLine="0"/>
                      <w:jc w:val="left"/>
                      <w:rPr>
                        <w:rFonts w:ascii="Calibri"/>
                        <w:sz w:val="20"/>
                      </w:rPr>
                    </w:pPr>
                    <w:r>
                      <w:rPr>
                        <w:rFonts w:ascii="Calibri"/>
                        <w:spacing w:val="-2"/>
                        <w:sz w:val="20"/>
                      </w:rPr>
                      <w:t>500</w:t>
                    </w:r>
                  </w:p>
                  <w:p>
                    <w:pPr>
                      <w:spacing w:before="93"/>
                      <w:ind w:left="98" w:right="0" w:firstLine="0"/>
                      <w:jc w:val="left"/>
                      <w:rPr>
                        <w:rFonts w:ascii="Calibri"/>
                        <w:sz w:val="20"/>
                      </w:rPr>
                    </w:pPr>
                    <w:r>
                      <w:rPr>
                        <w:rFonts w:ascii="Calibri"/>
                        <w:spacing w:val="-2"/>
                        <w:sz w:val="20"/>
                      </w:rPr>
                      <w:t>400</w:t>
                    </w:r>
                  </w:p>
                  <w:p>
                    <w:pPr>
                      <w:spacing w:before="94"/>
                      <w:ind w:left="98" w:right="0" w:firstLine="0"/>
                      <w:jc w:val="left"/>
                      <w:rPr>
                        <w:rFonts w:ascii="Calibri"/>
                        <w:sz w:val="20"/>
                      </w:rPr>
                    </w:pPr>
                    <w:r>
                      <w:rPr>
                        <w:rFonts w:ascii="Calibri"/>
                        <w:spacing w:val="-2"/>
                        <w:sz w:val="20"/>
                      </w:rPr>
                      <w:t>300</w:t>
                    </w:r>
                  </w:p>
                  <w:p>
                    <w:pPr>
                      <w:spacing w:before="93"/>
                      <w:ind w:left="98" w:right="0" w:firstLine="0"/>
                      <w:jc w:val="left"/>
                      <w:rPr>
                        <w:rFonts w:ascii="Calibri"/>
                        <w:sz w:val="20"/>
                      </w:rPr>
                    </w:pPr>
                    <w:r>
                      <w:rPr>
                        <w:rFonts w:ascii="Calibri"/>
                        <w:spacing w:val="-2"/>
                        <w:sz w:val="20"/>
                      </w:rPr>
                      <w:t>200</w:t>
                    </w:r>
                  </w:p>
                  <w:p>
                    <w:pPr>
                      <w:spacing w:before="94"/>
                      <w:ind w:left="98" w:right="0" w:firstLine="0"/>
                      <w:jc w:val="left"/>
                      <w:rPr>
                        <w:rFonts w:ascii="Calibri"/>
                        <w:sz w:val="20"/>
                      </w:rPr>
                    </w:pPr>
                    <w:r>
                      <w:rPr>
                        <w:rFonts w:ascii="Calibri"/>
                        <w:spacing w:val="-2"/>
                        <w:sz w:val="20"/>
                      </w:rPr>
                      <w:t>100</w:t>
                    </w:r>
                  </w:p>
                  <w:p>
                    <w:pPr>
                      <w:spacing w:line="240" w:lineRule="exact" w:before="93"/>
                      <w:ind w:left="0" w:right="18" w:firstLine="0"/>
                      <w:jc w:val="right"/>
                      <w:rPr>
                        <w:rFonts w:ascii="Calibri"/>
                        <w:sz w:val="20"/>
                      </w:rPr>
                    </w:pPr>
                    <w:r>
                      <w:rPr>
                        <w:rFonts w:ascii="Calibri"/>
                        <w:sz w:val="20"/>
                      </w:rPr>
                      <w:t>0</w:t>
                    </w:r>
                  </w:p>
                </w:txbxContent>
              </v:textbox>
              <w10:wrap type="none"/>
            </v:shape>
            <v:shape style="position:absolute;left:5889;top:6461;width:635;height:200" type="#_x0000_t202" filled="false" stroked="false">
              <v:textbox inset="0,0,0,0">
                <w:txbxContent>
                  <w:p>
                    <w:pPr>
                      <w:spacing w:line="200" w:lineRule="exact" w:before="0"/>
                      <w:ind w:left="0" w:right="0" w:firstLine="0"/>
                      <w:jc w:val="left"/>
                      <w:rPr>
                        <w:rFonts w:ascii="Calibri" w:hAnsi="Calibri"/>
                        <w:b/>
                        <w:sz w:val="20"/>
                      </w:rPr>
                    </w:pPr>
                    <w:r>
                      <w:rPr>
                        <w:rFonts w:ascii="Calibri" w:hAnsi="Calibri"/>
                        <w:b/>
                        <w:sz w:val="20"/>
                      </w:rPr>
                      <w:t>Années</w:t>
                    </w:r>
                  </w:p>
                </w:txbxContent>
              </v:textbox>
              <w10:wrap type="none"/>
            </v:shape>
            <w10:wrap type="none"/>
          </v:group>
        </w:pict>
      </w:r>
      <w:r>
        <w:rPr/>
        <w:pict>
          <v:shape style="position:absolute;margin-left:104.609001pt;margin-top:156.817673pt;width:12pt;height:80.25pt;mso-position-horizontal-relative:page;mso-position-vertical-relative:paragraph;z-index:1360" type="#_x0000_t202" filled="false" stroked="false">
            <v:textbox inset="0,0,0,0" style="layout-flow:vertical;mso-layout-flow-alt:bottom-to-top">
              <w:txbxContent>
                <w:p>
                  <w:pPr>
                    <w:spacing w:line="224" w:lineRule="exact" w:before="0"/>
                    <w:ind w:left="20" w:right="0" w:firstLine="0"/>
                    <w:jc w:val="left"/>
                    <w:rPr>
                      <w:rFonts w:ascii="Calibri" w:hAnsi="Calibri"/>
                      <w:b/>
                      <w:sz w:val="20"/>
                    </w:rPr>
                  </w:pPr>
                  <w:r>
                    <w:rPr>
                      <w:rFonts w:ascii="Calibri" w:hAnsi="Calibri"/>
                      <w:b/>
                      <w:sz w:val="20"/>
                    </w:rPr>
                    <w:t>précipitation (mm)</w:t>
                  </w:r>
                </w:p>
              </w:txbxContent>
            </v:textbox>
            <w10:wrap type="none"/>
          </v:shape>
        </w:pict>
      </w:r>
      <w:r>
        <w:rPr/>
        <w:t>Les données pluviométriques annuelles collectées par la station météorologique de Guelma (figure 04) montrent que les années (2003 et 2009) étaient les plus pluvieuses avec (938,5 mm et 890,3 mm), alors qu’une diminution significative est observée durant l’année 2008 avec une quantité de (381,8 mm).</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4"/>
        <w:rPr>
          <w:sz w:val="37"/>
        </w:rPr>
      </w:pPr>
    </w:p>
    <w:p>
      <w:pPr>
        <w:pStyle w:val="BodyText"/>
        <w:spacing w:line="535" w:lineRule="auto"/>
        <w:ind w:left="3830" w:right="2303" w:hanging="2236"/>
      </w:pPr>
      <w:r>
        <w:rPr>
          <w:b/>
        </w:rPr>
        <w:t>Figure04:</w:t>
      </w:r>
      <w:r>
        <w:rPr/>
        <w:t>Évolution des précipitations annuelles en (mm) durant la période (2002-2015). (O.N.M, 2015)</w:t>
      </w:r>
    </w:p>
    <w:p>
      <w:pPr>
        <w:pStyle w:val="Heading4"/>
        <w:numPr>
          <w:ilvl w:val="3"/>
          <w:numId w:val="20"/>
        </w:numPr>
        <w:tabs>
          <w:tab w:pos="1519" w:val="left" w:leader="none"/>
        </w:tabs>
        <w:spacing w:line="240" w:lineRule="auto" w:before="1" w:after="0"/>
        <w:ind w:left="1518" w:right="0" w:hanging="843"/>
        <w:jc w:val="left"/>
      </w:pPr>
      <w:bookmarkStart w:name="_TOC_250046" w:id="35"/>
      <w:r>
        <w:rPr/>
        <w:t>Précipitations mensuelles</w:t>
      </w:r>
      <w:r>
        <w:rPr>
          <w:spacing w:val="4"/>
        </w:rPr>
        <w:t> </w:t>
      </w:r>
      <w:bookmarkEnd w:id="35"/>
      <w:r>
        <w:rPr/>
        <w:t>:</w:t>
      </w:r>
    </w:p>
    <w:p>
      <w:pPr>
        <w:pStyle w:val="BodyText"/>
        <w:spacing w:before="2"/>
        <w:rPr>
          <w:b/>
          <w:sz w:val="29"/>
        </w:rPr>
      </w:pPr>
    </w:p>
    <w:p>
      <w:pPr>
        <w:pStyle w:val="BodyText"/>
        <w:spacing w:line="360" w:lineRule="auto"/>
        <w:ind w:left="675" w:right="1408" w:firstLine="707"/>
        <w:jc w:val="both"/>
      </w:pPr>
      <w:r>
        <w:rPr/>
        <w:t>Les valeurs moyennes mensuelles pluviométriques montrent les variations de la distribution des précipitations à l’échelle annuelle. La Figure (05) représente la variation des précipitations moyennes mensuelles durant la période (2002-2015). La valeur maximale des</w:t>
      </w:r>
    </w:p>
    <w:p>
      <w:pPr>
        <w:spacing w:after="0" w:line="360" w:lineRule="auto"/>
        <w:jc w:val="both"/>
        <w:sectPr>
          <w:pgSz w:w="11900" w:h="16840"/>
          <w:pgMar w:header="727" w:footer="1061" w:top="1180" w:bottom="1260" w:left="740" w:right="0"/>
        </w:sectPr>
      </w:pPr>
    </w:p>
    <w:p>
      <w:pPr>
        <w:pStyle w:val="BodyText"/>
        <w:rPr>
          <w:sz w:val="16"/>
        </w:rPr>
      </w:pPr>
    </w:p>
    <w:p>
      <w:pPr>
        <w:pStyle w:val="BodyText"/>
        <w:spacing w:line="362" w:lineRule="auto" w:before="90"/>
        <w:ind w:left="675" w:right="1450"/>
      </w:pPr>
      <w:r>
        <w:rPr/>
        <w:pict>
          <v:group style="position:absolute;margin-left:90.900337pt;margin-top:55.144386pt;width:413.5pt;height:228.8pt;mso-position-horizontal-relative:page;mso-position-vertical-relative:paragraph;z-index:-135952" coordorigin="1818,1103" coordsize="8270,4576">
            <v:shape style="position:absolute;left:5346;top:4604;width:257;height:282" type="#_x0000_t75" stroked="false">
              <v:imagedata r:id="rId65" o:title=""/>
            </v:shape>
            <v:shape style="position:absolute;left:1828;top:1112;width:8250;height:4556" type="#_x0000_t202" filled="false" stroked="true" strokeweight=".999328pt" strokecolor="#858585">
              <v:textbox inset="0,0,0,0">
                <w:txbxContent>
                  <w:p>
                    <w:pPr>
                      <w:spacing w:line="240" w:lineRule="auto" w:before="6"/>
                      <w:rPr>
                        <w:sz w:val="26"/>
                      </w:rPr>
                    </w:pPr>
                  </w:p>
                  <w:p>
                    <w:pPr>
                      <w:spacing w:before="0"/>
                      <w:ind w:left="947" w:right="0" w:firstLine="0"/>
                      <w:jc w:val="left"/>
                      <w:rPr>
                        <w:rFonts w:ascii="Calibri"/>
                        <w:sz w:val="20"/>
                      </w:rPr>
                    </w:pPr>
                    <w:r>
                      <w:rPr>
                        <w:rFonts w:ascii="Calibri"/>
                        <w:spacing w:val="-2"/>
                        <w:sz w:val="20"/>
                      </w:rPr>
                      <w:t>100</w:t>
                    </w:r>
                  </w:p>
                  <w:p>
                    <w:pPr>
                      <w:spacing w:line="240" w:lineRule="auto" w:before="9"/>
                      <w:rPr>
                        <w:sz w:val="27"/>
                      </w:rPr>
                    </w:pPr>
                  </w:p>
                  <w:p>
                    <w:pPr>
                      <w:spacing w:before="0"/>
                      <w:ind w:left="1025" w:right="6962" w:firstLine="0"/>
                      <w:jc w:val="center"/>
                      <w:rPr>
                        <w:rFonts w:ascii="Calibri"/>
                        <w:sz w:val="20"/>
                      </w:rPr>
                    </w:pPr>
                    <w:r>
                      <w:rPr>
                        <w:rFonts w:ascii="Calibri"/>
                        <w:sz w:val="20"/>
                      </w:rPr>
                      <w:t>80</w:t>
                    </w:r>
                  </w:p>
                  <w:p>
                    <w:pPr>
                      <w:spacing w:line="240" w:lineRule="auto" w:before="10"/>
                      <w:rPr>
                        <w:sz w:val="27"/>
                      </w:rPr>
                    </w:pPr>
                  </w:p>
                  <w:p>
                    <w:pPr>
                      <w:spacing w:before="0"/>
                      <w:ind w:left="1025" w:right="6962" w:firstLine="0"/>
                      <w:jc w:val="center"/>
                      <w:rPr>
                        <w:rFonts w:ascii="Calibri"/>
                        <w:sz w:val="20"/>
                      </w:rPr>
                    </w:pPr>
                    <w:r>
                      <w:rPr>
                        <w:rFonts w:ascii="Calibri"/>
                        <w:sz w:val="20"/>
                      </w:rPr>
                      <w:t>60</w:t>
                    </w:r>
                  </w:p>
                  <w:p>
                    <w:pPr>
                      <w:spacing w:line="240" w:lineRule="auto" w:before="10"/>
                      <w:rPr>
                        <w:sz w:val="27"/>
                      </w:rPr>
                    </w:pPr>
                  </w:p>
                  <w:p>
                    <w:pPr>
                      <w:spacing w:before="0"/>
                      <w:ind w:left="1025" w:right="6962" w:firstLine="0"/>
                      <w:jc w:val="center"/>
                      <w:rPr>
                        <w:rFonts w:ascii="Calibri"/>
                        <w:sz w:val="20"/>
                      </w:rPr>
                    </w:pPr>
                    <w:r>
                      <w:rPr>
                        <w:rFonts w:ascii="Calibri"/>
                        <w:sz w:val="20"/>
                      </w:rPr>
                      <w:t>40</w:t>
                    </w:r>
                  </w:p>
                  <w:p>
                    <w:pPr>
                      <w:spacing w:line="240" w:lineRule="auto" w:before="10"/>
                      <w:rPr>
                        <w:sz w:val="27"/>
                      </w:rPr>
                    </w:pPr>
                  </w:p>
                  <w:p>
                    <w:pPr>
                      <w:spacing w:before="0"/>
                      <w:ind w:left="1025" w:right="6962" w:firstLine="0"/>
                      <w:jc w:val="center"/>
                      <w:rPr>
                        <w:rFonts w:ascii="Calibri"/>
                        <w:sz w:val="20"/>
                      </w:rPr>
                    </w:pPr>
                    <w:r>
                      <w:rPr>
                        <w:rFonts w:ascii="Calibri"/>
                        <w:sz w:val="20"/>
                      </w:rPr>
                      <w:t>20</w:t>
                    </w:r>
                  </w:p>
                  <w:p>
                    <w:pPr>
                      <w:spacing w:line="240" w:lineRule="auto" w:before="10"/>
                      <w:rPr>
                        <w:sz w:val="27"/>
                      </w:rPr>
                    </w:pPr>
                  </w:p>
                  <w:p>
                    <w:pPr>
                      <w:spacing w:before="0"/>
                      <w:ind w:left="0" w:right="5829" w:firstLine="0"/>
                      <w:jc w:val="center"/>
                      <w:rPr>
                        <w:rFonts w:ascii="Calibri"/>
                        <w:sz w:val="20"/>
                      </w:rPr>
                    </w:pPr>
                    <w:r>
                      <w:rPr>
                        <w:rFonts w:ascii="Calibri"/>
                        <w:sz w:val="20"/>
                      </w:rPr>
                      <w:t>0</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0"/>
                      <w:rPr>
                        <w:sz w:val="15"/>
                      </w:rPr>
                    </w:pPr>
                  </w:p>
                  <w:p>
                    <w:pPr>
                      <w:spacing w:before="0"/>
                      <w:ind w:left="1025" w:right="280" w:firstLine="0"/>
                      <w:jc w:val="center"/>
                      <w:rPr>
                        <w:rFonts w:ascii="Calibri"/>
                        <w:b/>
                        <w:sz w:val="20"/>
                      </w:rPr>
                    </w:pPr>
                    <w:r>
                      <w:rPr>
                        <w:rFonts w:ascii="Calibri"/>
                        <w:b/>
                        <w:sz w:val="20"/>
                      </w:rPr>
                      <w:t>mois</w:t>
                    </w:r>
                  </w:p>
                </w:txbxContent>
              </v:textbox>
              <v:stroke dashstyle="solid"/>
              <w10:wrap type="none"/>
            </v:shape>
            <w10:wrap type="none"/>
          </v:group>
        </w:pict>
      </w:r>
      <w:r>
        <w:rPr/>
        <w:pict>
          <v:shape style="position:absolute;margin-left:120.498322pt;margin-top:108.083397pt;width:12pt;height:80.2pt;mso-position-horizontal-relative:page;mso-position-vertical-relative:paragraph;z-index:1624" type="#_x0000_t202" filled="false" stroked="false">
            <v:textbox inset="0,0,0,0" style="layout-flow:vertical;mso-layout-flow-alt:bottom-to-top">
              <w:txbxContent>
                <w:p>
                  <w:pPr>
                    <w:spacing w:line="224" w:lineRule="exact" w:before="0"/>
                    <w:ind w:left="20" w:right="0" w:firstLine="0"/>
                    <w:jc w:val="left"/>
                    <w:rPr>
                      <w:rFonts w:ascii="Calibri" w:hAnsi="Calibri"/>
                      <w:b/>
                      <w:sz w:val="20"/>
                    </w:rPr>
                  </w:pPr>
                  <w:r>
                    <w:rPr>
                      <w:rFonts w:ascii="Calibri" w:hAnsi="Calibri"/>
                      <w:b/>
                      <w:sz w:val="20"/>
                    </w:rPr>
                    <w:t>précipitation (mm)</w:t>
                  </w:r>
                </w:p>
              </w:txbxContent>
            </v:textbox>
            <w10:wrap type="none"/>
          </v:shape>
        </w:pict>
      </w:r>
      <w:r>
        <w:rPr/>
        <w:t>précipitations mensuelles est observée durant le mois de décembre et atteint une valeur de 93,11mm. La valeur minimale observée durant le mois de juillet avec une valeur de 3,72mm.</w:t>
      </w:r>
    </w:p>
    <w:p>
      <w:pPr>
        <w:pStyle w:val="BodyText"/>
        <w:rPr>
          <w:sz w:val="20"/>
        </w:rPr>
      </w:pPr>
    </w:p>
    <w:p>
      <w:pPr>
        <w:pStyle w:val="BodyText"/>
        <w:spacing w:before="8"/>
        <w:rPr>
          <w:sz w:val="13"/>
        </w:rPr>
      </w:pPr>
      <w:r>
        <w:rPr/>
        <w:pict>
          <v:group style="position:absolute;margin-left:160.600006pt;margin-top:10.333223pt;width:320pt;height:153.35pt;mso-position-horizontal-relative:page;mso-position-vertical-relative:paragraph;z-index:-664;mso-wrap-distance-left:0;mso-wrap-distance-right:0" coordorigin="3212,207" coordsize="6400,3067">
            <v:shape style="position:absolute;left:3237;top:206;width:6375;height:3044" type="#_x0000_t75" stroked="false">
              <v:imagedata r:id="rId66" o:title=""/>
            </v:shape>
            <v:line style="position:absolute" from="3271,3216" to="3210,3216" stroked="true" strokeweight=".999328pt" strokecolor="#858585">
              <v:stroke dashstyle="solid"/>
            </v:line>
            <v:line style="position:absolute" from="3271,2651" to="3210,2651" stroked="true" strokeweight=".999328pt" strokecolor="#858585">
              <v:stroke dashstyle="solid"/>
            </v:line>
            <v:line style="position:absolute" from="3271,2088" to="3210,2088" stroked="true" strokeweight=".999328pt" strokecolor="#858585">
              <v:stroke dashstyle="solid"/>
            </v:line>
            <v:line style="position:absolute" from="3271,1524" to="3210,1524" stroked="true" strokeweight=".999328pt" strokecolor="#858585">
              <v:stroke dashstyle="solid"/>
            </v:line>
            <v:line style="position:absolute" from="3271,961" to="3210,961" stroked="true" strokeweight=".999328pt" strokecolor="#858585">
              <v:stroke dashstyle="solid"/>
            </v:line>
            <v:line style="position:absolute" from="3271,393" to="3210,393" stroked="true" strokeweight=".999328pt" strokecolor="#858585">
              <v:stroke dashstyle="solid"/>
            </v:line>
            <v:line style="position:absolute" from="3270,3219" to="3270,3281" stroked="true" strokeweight=".999328pt" strokecolor="#858585">
              <v:stroke dashstyle="solid"/>
            </v:line>
            <v:line style="position:absolute" from="3781,3219" to="3781,3281" stroked="true" strokeweight=".999328pt" strokecolor="#858585">
              <v:stroke dashstyle="solid"/>
            </v:line>
            <v:line style="position:absolute" from="4289,3219" to="4289,3281" stroked="true" strokeweight=".999328pt" strokecolor="#858585">
              <v:stroke dashstyle="solid"/>
            </v:line>
            <v:line style="position:absolute" from="4797,3219" to="4797,3281" stroked="true" strokeweight=".999328pt" strokecolor="#858585">
              <v:stroke dashstyle="solid"/>
            </v:line>
            <v:line style="position:absolute" from="5304,3219" to="5304,3281" stroked="true" strokeweight=".999328pt" strokecolor="#858585">
              <v:stroke dashstyle="solid"/>
            </v:line>
            <v:line style="position:absolute" from="5816,3219" to="5816,3281" stroked="true" strokeweight=".999328pt" strokecolor="#858585">
              <v:stroke dashstyle="solid"/>
            </v:line>
            <v:line style="position:absolute" from="6324,3219" to="6324,3281" stroked="true" strokeweight=".999328pt" strokecolor="#858585">
              <v:stroke dashstyle="solid"/>
            </v:line>
            <v:line style="position:absolute" from="6831,3219" to="6831,3281" stroked="true" strokeweight=".999328pt" strokecolor="#858585">
              <v:stroke dashstyle="solid"/>
            </v:line>
            <v:line style="position:absolute" from="7343,3219" to="7343,3281" stroked="true" strokeweight=".999328pt" strokecolor="#858585">
              <v:stroke dashstyle="solid"/>
            </v:line>
            <v:line style="position:absolute" from="7851,3219" to="7851,3281" stroked="true" strokeweight=".999328pt" strokecolor="#858585">
              <v:stroke dashstyle="solid"/>
            </v:line>
            <v:line style="position:absolute" from="8358,3219" to="8358,3281" stroked="true" strokeweight=".999328pt" strokecolor="#858585">
              <v:stroke dashstyle="solid"/>
            </v:line>
            <v:line style="position:absolute" from="8866,3219" to="8866,3281" stroked="true" strokeweight=".999328pt" strokecolor="#858585">
              <v:stroke dashstyle="solid"/>
            </v:line>
            <v:line style="position:absolute" from="9376,3219" to="9376,3281" stroked="true" strokeweight=".999328pt" strokecolor="#858585">
              <v:stroke dashstyle="solid"/>
            </v:line>
            <w10:wrap type="topAndBottom"/>
          </v:group>
        </w:pict>
      </w:r>
      <w:r>
        <w:rPr/>
        <w:drawing>
          <wp:anchor distT="0" distB="0" distL="0" distR="0" allowOverlap="1" layoutInCell="1" locked="0" behindDoc="0" simplePos="0" relativeHeight="16">
            <wp:simplePos x="0" y="0"/>
            <wp:positionH relativeFrom="page">
              <wp:posOffset>1972691</wp:posOffset>
            </wp:positionH>
            <wp:positionV relativeFrom="paragraph">
              <wp:posOffset>2204584</wp:posOffset>
            </wp:positionV>
            <wp:extent cx="281334" cy="304800"/>
            <wp:effectExtent l="0" t="0" r="0" b="0"/>
            <wp:wrapTopAndBottom/>
            <wp:docPr id="5" name="image53.png" descr=""/>
            <wp:cNvGraphicFramePr>
              <a:graphicFrameLocks noChangeAspect="1"/>
            </wp:cNvGraphicFramePr>
            <a:graphic>
              <a:graphicData uri="http://schemas.openxmlformats.org/drawingml/2006/picture">
                <pic:pic>
                  <pic:nvPicPr>
                    <pic:cNvPr id="6" name="image53.png"/>
                    <pic:cNvPicPr/>
                  </pic:nvPicPr>
                  <pic:blipFill>
                    <a:blip r:embed="rId67" cstate="print"/>
                    <a:stretch>
                      <a:fillRect/>
                    </a:stretch>
                  </pic:blipFill>
                  <pic:spPr>
                    <a:xfrm>
                      <a:off x="0" y="0"/>
                      <a:ext cx="281334" cy="304800"/>
                    </a:xfrm>
                    <a:prstGeom prst="rect">
                      <a:avLst/>
                    </a:prstGeom>
                  </pic:spPr>
                </pic:pic>
              </a:graphicData>
            </a:graphic>
          </wp:anchor>
        </w:drawing>
      </w:r>
      <w:r>
        <w:rPr/>
        <w:drawing>
          <wp:anchor distT="0" distB="0" distL="0" distR="0" allowOverlap="1" layoutInCell="1" locked="0" behindDoc="0" simplePos="0" relativeHeight="17">
            <wp:simplePos x="0" y="0"/>
            <wp:positionH relativeFrom="page">
              <wp:posOffset>2308860</wp:posOffset>
            </wp:positionH>
            <wp:positionV relativeFrom="paragraph">
              <wp:posOffset>2203568</wp:posOffset>
            </wp:positionV>
            <wp:extent cx="270053" cy="271462"/>
            <wp:effectExtent l="0" t="0" r="0" b="0"/>
            <wp:wrapTopAndBottom/>
            <wp:docPr id="7" name="image54.png" descr=""/>
            <wp:cNvGraphicFramePr>
              <a:graphicFrameLocks noChangeAspect="1"/>
            </wp:cNvGraphicFramePr>
            <a:graphic>
              <a:graphicData uri="http://schemas.openxmlformats.org/drawingml/2006/picture">
                <pic:pic>
                  <pic:nvPicPr>
                    <pic:cNvPr id="8" name="image54.png"/>
                    <pic:cNvPicPr/>
                  </pic:nvPicPr>
                  <pic:blipFill>
                    <a:blip r:embed="rId68" cstate="print"/>
                    <a:stretch>
                      <a:fillRect/>
                    </a:stretch>
                  </pic:blipFill>
                  <pic:spPr>
                    <a:xfrm>
                      <a:off x="0" y="0"/>
                      <a:ext cx="270053" cy="271462"/>
                    </a:xfrm>
                    <a:prstGeom prst="rect">
                      <a:avLst/>
                    </a:prstGeom>
                  </pic:spPr>
                </pic:pic>
              </a:graphicData>
            </a:graphic>
          </wp:anchor>
        </w:drawing>
      </w:r>
      <w:r>
        <w:rPr/>
        <w:drawing>
          <wp:anchor distT="0" distB="0" distL="0" distR="0" allowOverlap="1" layoutInCell="1" locked="0" behindDoc="0" simplePos="0" relativeHeight="18">
            <wp:simplePos x="0" y="0"/>
            <wp:positionH relativeFrom="page">
              <wp:posOffset>2702432</wp:posOffset>
            </wp:positionH>
            <wp:positionV relativeFrom="paragraph">
              <wp:posOffset>2210553</wp:posOffset>
            </wp:positionV>
            <wp:extent cx="203902" cy="204787"/>
            <wp:effectExtent l="0" t="0" r="0" b="0"/>
            <wp:wrapTopAndBottom/>
            <wp:docPr id="9" name="image55.png" descr=""/>
            <wp:cNvGraphicFramePr>
              <a:graphicFrameLocks noChangeAspect="1"/>
            </wp:cNvGraphicFramePr>
            <a:graphic>
              <a:graphicData uri="http://schemas.openxmlformats.org/drawingml/2006/picture">
                <pic:pic>
                  <pic:nvPicPr>
                    <pic:cNvPr id="10" name="image55.png"/>
                    <pic:cNvPicPr/>
                  </pic:nvPicPr>
                  <pic:blipFill>
                    <a:blip r:embed="rId69" cstate="print"/>
                    <a:stretch>
                      <a:fillRect/>
                    </a:stretch>
                  </pic:blipFill>
                  <pic:spPr>
                    <a:xfrm>
                      <a:off x="0" y="0"/>
                      <a:ext cx="203902" cy="204787"/>
                    </a:xfrm>
                    <a:prstGeom prst="rect">
                      <a:avLst/>
                    </a:prstGeom>
                  </pic:spPr>
                </pic:pic>
              </a:graphicData>
            </a:graphic>
          </wp:anchor>
        </w:drawing>
      </w:r>
      <w:r>
        <w:rPr/>
        <w:drawing>
          <wp:anchor distT="0" distB="0" distL="0" distR="0" allowOverlap="1" layoutInCell="1" locked="0" behindDoc="0" simplePos="0" relativeHeight="19">
            <wp:simplePos x="0" y="0"/>
            <wp:positionH relativeFrom="page">
              <wp:posOffset>3053714</wp:posOffset>
            </wp:positionH>
            <wp:positionV relativeFrom="paragraph">
              <wp:posOffset>2190487</wp:posOffset>
            </wp:positionV>
            <wp:extent cx="181176" cy="200025"/>
            <wp:effectExtent l="0" t="0" r="0" b="0"/>
            <wp:wrapTopAndBottom/>
            <wp:docPr id="11" name="image56.png" descr=""/>
            <wp:cNvGraphicFramePr>
              <a:graphicFrameLocks noChangeAspect="1"/>
            </wp:cNvGraphicFramePr>
            <a:graphic>
              <a:graphicData uri="http://schemas.openxmlformats.org/drawingml/2006/picture">
                <pic:pic>
                  <pic:nvPicPr>
                    <pic:cNvPr id="12" name="image56.png"/>
                    <pic:cNvPicPr/>
                  </pic:nvPicPr>
                  <pic:blipFill>
                    <a:blip r:embed="rId70" cstate="print"/>
                    <a:stretch>
                      <a:fillRect/>
                    </a:stretch>
                  </pic:blipFill>
                  <pic:spPr>
                    <a:xfrm>
                      <a:off x="0" y="0"/>
                      <a:ext cx="181176" cy="200025"/>
                    </a:xfrm>
                    <a:prstGeom prst="rect">
                      <a:avLst/>
                    </a:prstGeom>
                  </pic:spPr>
                </pic:pic>
              </a:graphicData>
            </a:graphic>
          </wp:anchor>
        </w:drawing>
      </w:r>
      <w:r>
        <w:rPr/>
        <w:drawing>
          <wp:anchor distT="0" distB="0" distL="0" distR="0" allowOverlap="1" layoutInCell="1" locked="0" behindDoc="0" simplePos="0" relativeHeight="20">
            <wp:simplePos x="0" y="0"/>
            <wp:positionH relativeFrom="page">
              <wp:posOffset>3702684</wp:posOffset>
            </wp:positionH>
            <wp:positionV relativeFrom="paragraph">
              <wp:posOffset>2215379</wp:posOffset>
            </wp:positionV>
            <wp:extent cx="178334" cy="179736"/>
            <wp:effectExtent l="0" t="0" r="0" b="0"/>
            <wp:wrapTopAndBottom/>
            <wp:docPr id="13" name="image57.png" descr=""/>
            <wp:cNvGraphicFramePr>
              <a:graphicFrameLocks noChangeAspect="1"/>
            </wp:cNvGraphicFramePr>
            <a:graphic>
              <a:graphicData uri="http://schemas.openxmlformats.org/drawingml/2006/picture">
                <pic:pic>
                  <pic:nvPicPr>
                    <pic:cNvPr id="14" name="image57.png"/>
                    <pic:cNvPicPr/>
                  </pic:nvPicPr>
                  <pic:blipFill>
                    <a:blip r:embed="rId71" cstate="print"/>
                    <a:stretch>
                      <a:fillRect/>
                    </a:stretch>
                  </pic:blipFill>
                  <pic:spPr>
                    <a:xfrm>
                      <a:off x="0" y="0"/>
                      <a:ext cx="178334" cy="179736"/>
                    </a:xfrm>
                    <a:prstGeom prst="rect">
                      <a:avLst/>
                    </a:prstGeom>
                  </pic:spPr>
                </pic:pic>
              </a:graphicData>
            </a:graphic>
          </wp:anchor>
        </w:drawing>
      </w:r>
      <w:r>
        <w:rPr/>
        <w:pict>
          <v:shape style="position:absolute;margin-left:311.609985pt;margin-top:173.739304pt;width:19.5pt;height:20.2pt;mso-position-horizontal-relative:page;mso-position-vertical-relative:paragraph;z-index:-520;mso-wrap-distance-left:0;mso-wrap-distance-right:0" coordorigin="6232,3475" coordsize="390,404" path="m6332,3884l6324,3884,6325,3886,6331,3886,6332,3884xm6335,3882l6322,3882,6323,3884,6333,3884,6335,3882xm6266,3774l6261,3774,6260,3776,6259,3776,6258,3778,6257,3778,6256,3780,6254,3782,6254,3782,6253,3784,6254,3786,6322,3854,6325,3856,6326,3858,6327,3860,6328,3862,6328,3864,6329,3866,6329,3866,6327,3870,6326,3872,6325,3874,6323,3876,6320,3876,6320,3878,6319,3878,6320,3880,6320,3880,6321,3882,6336,3882,6340,3878,6342,3874,6343,3872,6344,3868,6345,3864,6344,3858,6343,3854,6341,3852,6338,3848,6335,3844,6330,3838,6266,3774xm6297,3740l6296,3740,6295,3742,6293,3742,6292,3744,6291,3744,6289,3746,6287,3748,6287,3748,6286,3750,6286,3750,6286,3752,6286,3752,6324,3790,6329,3796,6333,3798,6337,3802,6341,3804,6345,3804,6353,3806,6357,3806,6361,3804,6366,3802,6370,3800,6374,3796,6377,3792,6379,3790,6354,3790,6349,3788,6346,3788,6344,3786,6341,3784,6338,3782,6334,3778,6298,3742,6297,3740xm6339,3698l6338,3698,6337,3700,6335,3700,6333,3702,6332,3704,6330,3704,6329,3706,6328,3708,6328,3708,6328,3710,6328,3710,6372,3754,6373,3762,6373,3768,6371,3776,6369,3782,6364,3786,6362,3788,6359,3788,6357,3790,6379,3790,6380,3788,6382,3782,6383,3778,6384,3772,6384,3764,6403,3764,6403,3762,6402,3762,6340,3700,6339,3698xm6402,3764l6384,3764,6392,3772,6396,3772,6397,3770,6398,3770,6399,3768,6401,3766,6402,3766,6402,3764xm6371,3666l6370,3666,6369,3668,6368,3668,6366,3670,6365,3670,6364,3672,6363,3672,6362,3674,6360,3676,6360,3676,6360,3678,6360,3678,6423,3742,6426,3742,6427,3740,6428,3740,6429,3738,6431,3736,6432,3736,6433,3734,6434,3734,6434,3732,6434,3732,6434,3730,6434,3730,6371,3668,6371,3666xm6373,3606l6369,3606,6368,3608,6366,3608,6365,3610,6364,3612,6361,3614,6361,3614,6360,3616,6361,3616,6361,3618,6361,3618,6453,3710,6457,3710,6459,3708,6460,3708,6461,3706,6462,3706,6463,3704,6465,3702,6465,3700,6465,3698,6373,3606xm6403,3574l6400,3574,6398,3576,6397,3578,6396,3578,6394,3582,6393,3582,6392,3584,6392,3584,6392,3586,6392,3586,6485,3680,6488,3680,6489,3678,6490,3678,6491,3676,6492,3676,6493,3674,6494,3674,6495,3672,6496,3672,6497,3670,6497,3668,6496,3668,6403,3574xm6349,3642l6343,3642,6341,3644,6338,3646,6336,3648,6334,3650,6334,3654,6335,3656,6341,3662,6343,3664,6347,3664,6349,3662,6355,3656,6356,3654,6356,3650,6355,3648,6352,3646,6349,3642xm6506,3544l6496,3544,6486,3548,6481,3552,6476,3556,6471,3562,6468,3566,6466,3572,6464,3576,6463,3582,6464,3594,6465,3600,6468,3604,6471,3610,6475,3616,6486,3626,6492,3632,6503,3636,6508,3638,6525,3638,6530,3636,6535,3632,6540,3630,6546,3624,6512,3624,6508,3622,6501,3618,6498,3614,6494,3612,6502,3604,6486,3604,6484,3600,6482,3598,6480,3594,6479,3592,6478,3588,6477,3584,6477,3582,6477,3578,6478,3576,6480,3572,6482,3570,6490,3562,6496,3558,6532,3558,6529,3554,6524,3552,6520,3550,6515,3546,6510,3546,6506,3544xm6559,3590l6552,3590,6551,3594,6550,3596,6549,3598,6548,3600,6546,3602,6543,3608,6540,3610,6537,3614,6534,3618,6530,3620,6526,3622,6523,3624,6546,3624,6548,3622,6551,3618,6555,3612,6557,3610,6559,3606,6560,3604,6562,3600,6563,3598,6563,3596,6562,3594,6561,3594,6559,3590xm6532,3558l6496,3558,6508,3560,6514,3564,6520,3570,6486,3604,6502,3604,6535,3570,6537,3570,6537,3568,6537,3564,6537,3562,6535,3562,6532,3558xm6557,3588l6553,3588,6553,3590,6557,3590,6557,3588xm6522,3484l6518,3484,6517,3486,6516,3486,6513,3490,6511,3490,6510,3492,6510,3492,6509,3494,6510,3496,6525,3510,6516,3520,6534,3520,6574,3560,6581,3564,6584,3566,6588,3568,6597,3568,6600,3566,6607,3562,6611,3558,6614,3554,6615,3554,6615,3552,6592,3552,6589,3550,6585,3548,6581,3544,6546,3508,6554,3500,6536,3500,6522,3484xm6616,3542l6606,3542,6605,3544,6604,3546,6603,3546,6602,3548,6599,3550,6596,3552,6616,3552,6617,3550,6618,3548,6618,3544,6616,3542xm6614,3540l6607,3540,6606,3542,6615,3542,6614,3540xm6612,3538l6608,3538,6607,3540,6613,3540,6612,3538xm6534,3520l6516,3520,6516,3522,6516,3524,6517,3524,6520,3528,6522,3530,6525,3530,6534,3520xm6556,3482l6553,3482,6536,3500,6554,3500,6562,3492,6563,3492,6562,3488,6561,3488,6559,3486,6559,3484,6557,3484,6556,3482xm6241,3746l6237,3746,6235,3748,6229,3753,6228,3755,6228,3760,6229,3762,6235,3767,6237,3768,6241,3768,6243,3767,6248,3762,6250,3760,6250,3755,6248,3753,6243,3748,6241,3746xe" filled="true" fillcolor="#000000" stroked="false">
            <v:path arrowok="t"/>
            <v:fill type="solid"/>
            <w10:wrap type="topAndBottom"/>
          </v:shape>
        </w:pict>
      </w:r>
      <w:r>
        <w:rPr/>
        <w:drawing>
          <wp:anchor distT="0" distB="0" distL="0" distR="0" allowOverlap="1" layoutInCell="1" locked="0" behindDoc="0" simplePos="0" relativeHeight="22">
            <wp:simplePos x="0" y="0"/>
            <wp:positionH relativeFrom="page">
              <wp:posOffset>4335653</wp:posOffset>
            </wp:positionH>
            <wp:positionV relativeFrom="paragraph">
              <wp:posOffset>2205473</wp:posOffset>
            </wp:positionV>
            <wp:extent cx="1471601" cy="423862"/>
            <wp:effectExtent l="0" t="0" r="0" b="0"/>
            <wp:wrapTopAndBottom/>
            <wp:docPr id="15" name="image58.png" descr=""/>
            <wp:cNvGraphicFramePr>
              <a:graphicFrameLocks noChangeAspect="1"/>
            </wp:cNvGraphicFramePr>
            <a:graphic>
              <a:graphicData uri="http://schemas.openxmlformats.org/drawingml/2006/picture">
                <pic:pic>
                  <pic:nvPicPr>
                    <pic:cNvPr id="16" name="image58.png"/>
                    <pic:cNvPicPr/>
                  </pic:nvPicPr>
                  <pic:blipFill>
                    <a:blip r:embed="rId72" cstate="print"/>
                    <a:stretch>
                      <a:fillRect/>
                    </a:stretch>
                  </pic:blipFill>
                  <pic:spPr>
                    <a:xfrm>
                      <a:off x="0" y="0"/>
                      <a:ext cx="1471601" cy="423862"/>
                    </a:xfrm>
                    <a:prstGeom prst="rect">
                      <a:avLst/>
                    </a:prstGeom>
                  </pic:spPr>
                </pic:pic>
              </a:graphicData>
            </a:graphic>
          </wp:anchor>
        </w:drawing>
      </w:r>
    </w:p>
    <w:p>
      <w:pPr>
        <w:pStyle w:val="BodyText"/>
        <w:spacing w:before="6"/>
        <w:rPr>
          <w:sz w:val="8"/>
        </w:rPr>
      </w:pPr>
    </w:p>
    <w:p>
      <w:pPr>
        <w:pStyle w:val="BodyText"/>
        <w:rPr>
          <w:sz w:val="26"/>
        </w:rPr>
      </w:pPr>
    </w:p>
    <w:p>
      <w:pPr>
        <w:pStyle w:val="BodyText"/>
        <w:spacing w:before="2"/>
        <w:rPr>
          <w:sz w:val="34"/>
        </w:rPr>
      </w:pPr>
    </w:p>
    <w:p>
      <w:pPr>
        <w:pStyle w:val="BodyText"/>
        <w:spacing w:line="357" w:lineRule="auto"/>
        <w:ind w:left="596" w:right="1338"/>
        <w:jc w:val="center"/>
      </w:pPr>
      <w:r>
        <w:rPr>
          <w:b/>
        </w:rPr>
        <w:t>Figure 05: </w:t>
      </w:r>
      <w:r>
        <w:rPr/>
        <w:t>Variation des précipitations mensuelles en (mm) durant la période (2002-2015). (O.N.M, 2015).</w:t>
      </w:r>
    </w:p>
    <w:p>
      <w:pPr>
        <w:pStyle w:val="BodyText"/>
        <w:spacing w:line="360" w:lineRule="auto" w:before="205"/>
        <w:ind w:left="675" w:right="1414" w:firstLine="707"/>
        <w:jc w:val="both"/>
      </w:pPr>
      <w:r>
        <w:rPr/>
        <w:t>Deux saisons distinctes sont observées: une saison sèche correspond à la saison d'été (juin, juillet et août) caractérisée par un déficit pluviométrique bien marqué, et une saison humide représentant le reste de l'année.</w:t>
      </w:r>
    </w:p>
    <w:p>
      <w:pPr>
        <w:pStyle w:val="Heading4"/>
        <w:numPr>
          <w:ilvl w:val="2"/>
          <w:numId w:val="20"/>
        </w:numPr>
        <w:tabs>
          <w:tab w:pos="1339" w:val="left" w:leader="none"/>
        </w:tabs>
        <w:spacing w:line="240" w:lineRule="auto" w:before="202" w:after="0"/>
        <w:ind w:left="1339" w:right="0" w:hanging="664"/>
        <w:jc w:val="left"/>
      </w:pPr>
      <w:bookmarkStart w:name="_TOC_250045" w:id="36"/>
      <w:r>
        <w:rPr/>
        <w:t>La Température</w:t>
      </w:r>
      <w:r>
        <w:rPr>
          <w:spacing w:val="1"/>
        </w:rPr>
        <w:t> </w:t>
      </w:r>
      <w:bookmarkEnd w:id="36"/>
      <w:r>
        <w:rPr/>
        <w:t>:</w:t>
      </w:r>
    </w:p>
    <w:p>
      <w:pPr>
        <w:pStyle w:val="BodyText"/>
        <w:spacing w:before="2"/>
        <w:rPr>
          <w:b/>
          <w:sz w:val="29"/>
        </w:rPr>
      </w:pPr>
    </w:p>
    <w:p>
      <w:pPr>
        <w:pStyle w:val="BodyText"/>
        <w:spacing w:line="360" w:lineRule="auto"/>
        <w:ind w:left="675" w:right="1415" w:firstLine="707"/>
        <w:jc w:val="both"/>
      </w:pPr>
      <w:r>
        <w:rPr/>
        <w:t>La température est un facteur climatique important liée à la radiation solaire, sa variation influe sur le bilan hydrique par la transformation de l’eau en vapeur et par conséquence sur la végétation du fait qu’elle conditionne l’évapotranspiration. (Beltrando, 1995).</w:t>
      </w:r>
    </w:p>
    <w:p>
      <w:pPr>
        <w:pStyle w:val="Heading4"/>
        <w:numPr>
          <w:ilvl w:val="3"/>
          <w:numId w:val="20"/>
        </w:numPr>
        <w:tabs>
          <w:tab w:pos="1519" w:val="left" w:leader="none"/>
        </w:tabs>
        <w:spacing w:line="240" w:lineRule="auto" w:before="203" w:after="0"/>
        <w:ind w:left="1518" w:right="0" w:hanging="843"/>
        <w:jc w:val="left"/>
      </w:pPr>
      <w:bookmarkStart w:name="_TOC_250044" w:id="37"/>
      <w:r>
        <w:rPr/>
        <w:t>Les températures moyennes annuelles</w:t>
      </w:r>
      <w:r>
        <w:rPr>
          <w:spacing w:val="1"/>
        </w:rPr>
        <w:t> </w:t>
      </w:r>
      <w:bookmarkEnd w:id="37"/>
      <w:r>
        <w:rPr/>
        <w:t>:</w:t>
      </w:r>
    </w:p>
    <w:p>
      <w:pPr>
        <w:pStyle w:val="BodyText"/>
        <w:spacing w:before="10"/>
        <w:rPr>
          <w:b/>
          <w:sz w:val="28"/>
        </w:rPr>
      </w:pPr>
    </w:p>
    <w:p>
      <w:pPr>
        <w:pStyle w:val="BodyText"/>
        <w:spacing w:line="360" w:lineRule="auto"/>
        <w:ind w:left="675" w:right="1411" w:firstLine="707"/>
        <w:jc w:val="both"/>
      </w:pPr>
      <w:r>
        <w:rPr/>
        <w:t>La figure (06) représente les températures moyennes annuelles qui montrent que les années (2003 et 20014) étaient les plus chaudes avec (18,5°C), alors qu’une diminution significative est observée durant les années 2004,2005 et 2007 avec (17,5°C).</w:t>
      </w:r>
    </w:p>
    <w:p>
      <w:pPr>
        <w:spacing w:after="0" w:line="360" w:lineRule="auto"/>
        <w:jc w:val="both"/>
        <w:sectPr>
          <w:pgSz w:w="11900" w:h="16840"/>
          <w:pgMar w:header="727" w:footer="1061" w:top="1180" w:bottom="1260" w:left="740" w:right="0"/>
        </w:sectPr>
      </w:pPr>
    </w:p>
    <w:p>
      <w:pPr>
        <w:pStyle w:val="BodyText"/>
        <w:rPr>
          <w:sz w:val="20"/>
        </w:rPr>
      </w:pPr>
      <w:r>
        <w:rPr/>
        <w:pict>
          <v:shape style="position:absolute;margin-left:88.839607pt;margin-top:179.872192pt;width:12pt;height:21.85pt;mso-position-horizontal-relative:page;mso-position-vertical-relative:page;z-index:1696" type="#_x0000_t202" filled="false" stroked="false">
            <v:textbox inset="0,0,0,0" style="layout-flow:vertical;mso-layout-flow-alt:bottom-to-top">
              <w:txbxContent>
                <w:p>
                  <w:pPr>
                    <w:spacing w:line="224" w:lineRule="exact" w:before="0"/>
                    <w:ind w:left="20" w:right="0" w:firstLine="0"/>
                    <w:jc w:val="left"/>
                    <w:rPr>
                      <w:rFonts w:ascii="Calibri" w:hAnsi="Calibri"/>
                      <w:b/>
                      <w:sz w:val="20"/>
                    </w:rPr>
                  </w:pPr>
                  <w:r>
                    <w:rPr>
                      <w:rFonts w:ascii="Calibri" w:hAnsi="Calibri"/>
                      <w:b/>
                      <w:sz w:val="20"/>
                    </w:rPr>
                    <w:t>T(°C)</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pStyle w:val="BodyText"/>
        <w:spacing w:before="90"/>
        <w:ind w:left="683"/>
      </w:pPr>
      <w:r>
        <w:rPr/>
        <w:pict>
          <v:group style="position:absolute;margin-left:71.850334pt;margin-top:-240.321548pt;width:450.25pt;height:228.25pt;mso-position-horizontal-relative:page;mso-position-vertical-relative:paragraph;z-index:1672" coordorigin="1437,-4806" coordsize="9005,4565">
            <v:shape style="position:absolute;left:2647;top:-4125;width:7325;height:3195" type="#_x0000_t75" stroked="false">
              <v:imagedata r:id="rId73" o:title=""/>
            </v:shape>
            <v:shape style="position:absolute;left:2627;top:-3949;width:7119;height:3040" coordorigin="2627,-3948" coordsize="7119,3040" path="m2688,-965l2625,-965m2688,-1336l2625,-1336m2688,-1708l2625,-1708m2688,-2080l2625,-2080m2688,-2452l2625,-2452m2688,-2823l2625,-2823m2688,-3195l2625,-3195m2688,-3567l2625,-3567m2688,-3939l2625,-3939m2689,-965l2689,-901m3193,-965l3193,-901m3697,-965l3697,-901m4200,-965l4200,-901m4704,-965l4704,-901m5207,-965l5207,-901m5711,-965l5711,-901m6215,-965l6215,-901m6718,-965l6718,-901m7222,-965l7222,-901m7726,-965l7726,-901m8229,-965l8229,-901m8733,-965l8733,-901m9237,-965l9237,-901m9739,-965l9739,-901e" filled="false" stroked="true" strokeweight=".999328pt" strokecolor="#858585">
              <v:path arrowok="t"/>
              <v:stroke dashstyle="solid"/>
            </v:shape>
            <v:shape style="position:absolute;left:1447;top:-4797;width:8985;height:4545" type="#_x0000_t202" filled="false" stroked="true" strokeweight=".999328pt" strokecolor="#858585">
              <v:textbox inset="0,0,0,0">
                <w:txbxContent>
                  <w:p>
                    <w:pPr>
                      <w:spacing w:line="240" w:lineRule="auto" w:before="0"/>
                      <w:rPr>
                        <w:sz w:val="20"/>
                      </w:rPr>
                    </w:pPr>
                  </w:p>
                  <w:p>
                    <w:pPr>
                      <w:spacing w:line="240" w:lineRule="auto" w:before="0"/>
                      <w:rPr>
                        <w:sz w:val="20"/>
                      </w:rPr>
                    </w:pPr>
                  </w:p>
                  <w:p>
                    <w:pPr>
                      <w:spacing w:line="240" w:lineRule="auto" w:before="5"/>
                      <w:rPr>
                        <w:sz w:val="23"/>
                      </w:rPr>
                    </w:pPr>
                  </w:p>
                  <w:p>
                    <w:pPr>
                      <w:spacing w:before="0"/>
                      <w:ind w:left="671" w:right="7899" w:firstLine="0"/>
                      <w:jc w:val="center"/>
                      <w:rPr>
                        <w:rFonts w:ascii="Calibri"/>
                        <w:sz w:val="20"/>
                      </w:rPr>
                    </w:pPr>
                    <w:r>
                      <w:rPr>
                        <w:rFonts w:ascii="Calibri"/>
                        <w:sz w:val="20"/>
                      </w:rPr>
                      <w:t>18,6</w:t>
                    </w:r>
                  </w:p>
                  <w:p>
                    <w:pPr>
                      <w:spacing w:before="127"/>
                      <w:ind w:left="670" w:right="7899" w:firstLine="0"/>
                      <w:jc w:val="center"/>
                      <w:rPr>
                        <w:rFonts w:ascii="Calibri"/>
                        <w:sz w:val="20"/>
                      </w:rPr>
                    </w:pPr>
                    <w:r>
                      <w:rPr>
                        <w:rFonts w:ascii="Calibri"/>
                        <w:sz w:val="20"/>
                      </w:rPr>
                      <w:t>18,4</w:t>
                    </w:r>
                  </w:p>
                  <w:p>
                    <w:pPr>
                      <w:spacing w:before="127"/>
                      <w:ind w:left="670" w:right="7899" w:firstLine="0"/>
                      <w:jc w:val="center"/>
                      <w:rPr>
                        <w:rFonts w:ascii="Calibri"/>
                        <w:sz w:val="20"/>
                      </w:rPr>
                    </w:pPr>
                    <w:r>
                      <w:rPr>
                        <w:rFonts w:ascii="Calibri"/>
                        <w:sz w:val="20"/>
                      </w:rPr>
                      <w:t>18,2</w:t>
                    </w:r>
                  </w:p>
                  <w:p>
                    <w:pPr>
                      <w:spacing w:before="128"/>
                      <w:ind w:left="671" w:right="7747" w:firstLine="0"/>
                      <w:jc w:val="center"/>
                      <w:rPr>
                        <w:rFonts w:ascii="Calibri"/>
                        <w:sz w:val="20"/>
                      </w:rPr>
                    </w:pPr>
                    <w:r>
                      <w:rPr>
                        <w:rFonts w:ascii="Calibri"/>
                        <w:sz w:val="20"/>
                      </w:rPr>
                      <w:t>18</w:t>
                    </w:r>
                  </w:p>
                  <w:p>
                    <w:pPr>
                      <w:spacing w:before="127"/>
                      <w:ind w:left="670" w:right="7899" w:firstLine="0"/>
                      <w:jc w:val="center"/>
                      <w:rPr>
                        <w:rFonts w:ascii="Calibri"/>
                        <w:sz w:val="20"/>
                      </w:rPr>
                    </w:pPr>
                    <w:r>
                      <w:rPr>
                        <w:rFonts w:ascii="Calibri"/>
                        <w:sz w:val="20"/>
                      </w:rPr>
                      <w:t>17,8</w:t>
                    </w:r>
                  </w:p>
                  <w:p>
                    <w:pPr>
                      <w:spacing w:before="128"/>
                      <w:ind w:left="670" w:right="7899" w:firstLine="0"/>
                      <w:jc w:val="center"/>
                      <w:rPr>
                        <w:rFonts w:ascii="Calibri"/>
                        <w:sz w:val="20"/>
                      </w:rPr>
                    </w:pPr>
                    <w:r>
                      <w:rPr>
                        <w:rFonts w:ascii="Calibri"/>
                        <w:sz w:val="20"/>
                      </w:rPr>
                      <w:t>17,6</w:t>
                    </w:r>
                  </w:p>
                  <w:p>
                    <w:pPr>
                      <w:spacing w:before="127"/>
                      <w:ind w:left="670" w:right="7899" w:firstLine="0"/>
                      <w:jc w:val="center"/>
                      <w:rPr>
                        <w:rFonts w:ascii="Calibri"/>
                        <w:sz w:val="20"/>
                      </w:rPr>
                    </w:pPr>
                    <w:r>
                      <w:rPr>
                        <w:rFonts w:ascii="Calibri"/>
                        <w:sz w:val="20"/>
                      </w:rPr>
                      <w:t>17,4</w:t>
                    </w:r>
                  </w:p>
                  <w:p>
                    <w:pPr>
                      <w:spacing w:before="128"/>
                      <w:ind w:left="670" w:right="7899" w:firstLine="0"/>
                      <w:jc w:val="center"/>
                      <w:rPr>
                        <w:rFonts w:ascii="Calibri"/>
                        <w:sz w:val="20"/>
                      </w:rPr>
                    </w:pPr>
                    <w:r>
                      <w:rPr>
                        <w:rFonts w:ascii="Calibri"/>
                        <w:sz w:val="20"/>
                      </w:rPr>
                      <w:t>17,2</w:t>
                    </w:r>
                  </w:p>
                  <w:p>
                    <w:pPr>
                      <w:spacing w:before="127"/>
                      <w:ind w:left="671" w:right="7747" w:firstLine="0"/>
                      <w:jc w:val="center"/>
                      <w:rPr>
                        <w:rFonts w:ascii="Calibri"/>
                        <w:sz w:val="20"/>
                      </w:rPr>
                    </w:pPr>
                    <w:r>
                      <w:rPr>
                        <w:rFonts w:ascii="Calibri"/>
                        <w:sz w:val="20"/>
                      </w:rPr>
                      <w:t>17</w:t>
                    </w:r>
                  </w:p>
                  <w:p>
                    <w:pPr>
                      <w:spacing w:line="234" w:lineRule="exact" w:before="64"/>
                      <w:ind w:left="671" w:right="125" w:firstLine="0"/>
                      <w:jc w:val="center"/>
                      <w:rPr>
                        <w:rFonts w:ascii="Calibri"/>
                        <w:sz w:val="20"/>
                      </w:rPr>
                    </w:pPr>
                    <w:r>
                      <w:rPr>
                        <w:rFonts w:ascii="Calibri"/>
                        <w:sz w:val="20"/>
                      </w:rPr>
                      <w:t>2002 2003 2004 2005 2006 2007 2008 2009 2010 2011 2012 2013 2014 2015</w:t>
                    </w:r>
                  </w:p>
                  <w:p>
                    <w:pPr>
                      <w:spacing w:line="234" w:lineRule="exact" w:before="0"/>
                      <w:ind w:left="671" w:right="120" w:firstLine="0"/>
                      <w:jc w:val="center"/>
                      <w:rPr>
                        <w:rFonts w:ascii="Calibri" w:hAnsi="Calibri"/>
                        <w:b/>
                        <w:sz w:val="20"/>
                      </w:rPr>
                    </w:pPr>
                    <w:r>
                      <w:rPr>
                        <w:rFonts w:ascii="Calibri" w:hAnsi="Calibri"/>
                        <w:b/>
                        <w:sz w:val="20"/>
                      </w:rPr>
                      <w:t>années</w:t>
                    </w:r>
                  </w:p>
                </w:txbxContent>
              </v:textbox>
              <v:stroke dashstyle="solid"/>
              <w10:wrap type="none"/>
            </v:shape>
            <w10:wrap type="none"/>
          </v:group>
        </w:pict>
      </w:r>
      <w:r>
        <w:rPr>
          <w:b/>
        </w:rPr>
        <w:t>Figure 06:</w:t>
      </w:r>
      <w:r>
        <w:rPr/>
        <w:t>Variation des températures annuelles durant la période (2002-2015).(O.N.M, 2015)</w:t>
      </w:r>
    </w:p>
    <w:p>
      <w:pPr>
        <w:pStyle w:val="BodyText"/>
        <w:spacing w:before="10"/>
        <w:rPr>
          <w:sz w:val="29"/>
        </w:rPr>
      </w:pPr>
    </w:p>
    <w:p>
      <w:pPr>
        <w:pStyle w:val="Heading4"/>
        <w:numPr>
          <w:ilvl w:val="3"/>
          <w:numId w:val="20"/>
        </w:numPr>
        <w:tabs>
          <w:tab w:pos="1519" w:val="left" w:leader="none"/>
        </w:tabs>
        <w:spacing w:line="240" w:lineRule="auto" w:before="0" w:after="0"/>
        <w:ind w:left="1518" w:right="0" w:hanging="843"/>
        <w:jc w:val="left"/>
      </w:pPr>
      <w:bookmarkStart w:name="_TOC_250043" w:id="38"/>
      <w:r>
        <w:rPr/>
        <w:t>Les températures moyennes mensuelles</w:t>
      </w:r>
      <w:r>
        <w:rPr>
          <w:spacing w:val="5"/>
        </w:rPr>
        <w:t> </w:t>
      </w:r>
      <w:bookmarkEnd w:id="38"/>
      <w:r>
        <w:rPr/>
        <w:t>:</w:t>
      </w:r>
    </w:p>
    <w:p>
      <w:pPr>
        <w:pStyle w:val="BodyText"/>
        <w:spacing w:before="10"/>
        <w:rPr>
          <w:b/>
          <w:sz w:val="28"/>
        </w:rPr>
      </w:pPr>
    </w:p>
    <w:p>
      <w:pPr>
        <w:pStyle w:val="BodyText"/>
        <w:spacing w:line="360" w:lineRule="auto"/>
        <w:ind w:left="675" w:right="1412" w:firstLine="707"/>
        <w:jc w:val="both"/>
      </w:pPr>
      <w:r>
        <w:rPr>
          <w:spacing w:val="-4"/>
        </w:rPr>
        <w:t>La </w:t>
      </w:r>
      <w:r>
        <w:rPr/>
        <w:t>figure (07) représente les températures moyennes mensuelles confirmant l’existence de deux saisons distinctes: l’une allant de novembre à avril constituant une période fraîche et douce, et l’autre de mai à octobre et indique une saison douce et</w:t>
      </w:r>
      <w:r>
        <w:rPr>
          <w:spacing w:val="-8"/>
        </w:rPr>
        <w:t> </w:t>
      </w:r>
      <w:r>
        <w:rPr/>
        <w:t>chaude.</w:t>
      </w:r>
    </w:p>
    <w:p>
      <w:pPr>
        <w:pStyle w:val="BodyText"/>
        <w:spacing w:line="360" w:lineRule="auto" w:before="201"/>
        <w:ind w:left="675" w:right="1412" w:firstLine="707"/>
        <w:jc w:val="both"/>
      </w:pPr>
      <w:r>
        <w:rPr/>
        <w:t>Les températures moyennes mensuelles les plus élevées sont enregistrées pendant l’été (juin-octobre) avec des températures variant de 20,1°C à 27,32°C. </w:t>
      </w:r>
      <w:r>
        <w:rPr>
          <w:spacing w:val="-4"/>
        </w:rPr>
        <w:t>Les</w:t>
      </w:r>
      <w:r>
        <w:rPr>
          <w:spacing w:val="52"/>
        </w:rPr>
        <w:t> </w:t>
      </w:r>
      <w:r>
        <w:rPr/>
        <w:t>températures moyennes les plus basses de 9,62 à 12.43°C, sont observées en hiver (décembre à</w:t>
      </w:r>
      <w:r>
        <w:rPr>
          <w:spacing w:val="-14"/>
        </w:rPr>
        <w:t> </w:t>
      </w:r>
      <w:r>
        <w:rPr/>
        <w:t>mars).</w:t>
      </w:r>
    </w:p>
    <w:p>
      <w:pPr>
        <w:spacing w:after="0" w:line="360" w:lineRule="auto"/>
        <w:jc w:val="both"/>
        <w:sectPr>
          <w:pgSz w:w="11900" w:h="16840"/>
          <w:pgMar w:header="727" w:footer="1061" w:top="1180" w:bottom="1260" w:left="740" w:right="0"/>
        </w:sectPr>
      </w:pPr>
    </w:p>
    <w:p>
      <w:pPr>
        <w:pStyle w:val="BodyText"/>
        <w:rPr>
          <w:sz w:val="20"/>
        </w:rPr>
      </w:pPr>
      <w:r>
        <w:rPr/>
        <w:pict>
          <v:shape style="position:absolute;margin-left:94.535774pt;margin-top:153.85968pt;width:12pt;height:21.85pt;mso-position-horizontal-relative:page;mso-position-vertical-relative:page;z-index:1984" type="#_x0000_t202" filled="false" stroked="false">
            <v:textbox inset="0,0,0,0" style="layout-flow:vertical;mso-layout-flow-alt:bottom-to-top">
              <w:txbxContent>
                <w:p>
                  <w:pPr>
                    <w:spacing w:line="224" w:lineRule="exact" w:before="0"/>
                    <w:ind w:left="20" w:right="0" w:firstLine="0"/>
                    <w:jc w:val="left"/>
                    <w:rPr>
                      <w:rFonts w:ascii="Calibri" w:hAnsi="Calibri"/>
                      <w:b/>
                      <w:sz w:val="20"/>
                    </w:rPr>
                  </w:pPr>
                  <w:r>
                    <w:rPr>
                      <w:rFonts w:ascii="Calibri" w:hAnsi="Calibri"/>
                      <w:b/>
                      <w:sz w:val="20"/>
                    </w:rPr>
                    <w:t>T(°C)</w:t>
                  </w:r>
                </w:p>
              </w:txbxContent>
            </v:textbox>
            <w10:wrap type="none"/>
          </v:shape>
        </w:pict>
      </w:r>
    </w:p>
    <w:p>
      <w:pPr>
        <w:pStyle w:val="BodyText"/>
        <w:spacing w:before="9" w:after="1"/>
      </w:pPr>
    </w:p>
    <w:p>
      <w:pPr>
        <w:pStyle w:val="BodyText"/>
        <w:ind w:left="1849"/>
        <w:rPr>
          <w:sz w:val="20"/>
        </w:rPr>
      </w:pPr>
      <w:r>
        <w:rPr>
          <w:sz w:val="20"/>
        </w:rPr>
        <w:pict>
          <v:group style="width:348.2pt;height:149.85pt;mso-position-horizontal-relative:char;mso-position-vertical-relative:line" coordorigin="0,0" coordsize="6964,2997">
            <v:shape style="position:absolute;left:27;top:0;width:6937;height:2972" type="#_x0000_t75" stroked="false">
              <v:imagedata r:id="rId74" o:title=""/>
            </v:shape>
            <v:line style="position:absolute" from="61,2940" to="-2,2940" stroked="true" strokeweight=".999328pt" strokecolor="#858585">
              <v:stroke dashstyle="solid"/>
            </v:line>
            <v:line style="position:absolute" from="61,2483" to="-2,2483" stroked="true" strokeweight=".999328pt" strokecolor="#858585">
              <v:stroke dashstyle="solid"/>
            </v:line>
            <v:line style="position:absolute" from="61,2027" to="-2,2027" stroked="true" strokeweight=".999328pt" strokecolor="#858585">
              <v:stroke dashstyle="solid"/>
            </v:line>
            <v:line style="position:absolute" from="61,1572" to="-2,1572" stroked="true" strokeweight=".999328pt" strokecolor="#858585">
              <v:stroke dashstyle="solid"/>
            </v:line>
            <v:line style="position:absolute" from="61,1116" to="-2,1116" stroked="true" strokeweight=".999328pt" strokecolor="#858585">
              <v:stroke dashstyle="solid"/>
            </v:line>
            <v:line style="position:absolute" from="61,656" to="-2,656" stroked="true" strokeweight=".999328pt" strokecolor="#858585">
              <v:stroke dashstyle="solid"/>
            </v:line>
            <v:line style="position:absolute" from="61,201" to="-2,201" stroked="true" strokeweight=".999328pt" strokecolor="#858585">
              <v:stroke dashstyle="solid"/>
            </v:line>
            <v:line style="position:absolute" from="62,2943" to="62,3005" stroked="true" strokeweight=".999328pt" strokecolor="#858585">
              <v:stroke dashstyle="solid"/>
            </v:line>
            <v:line style="position:absolute" from="614,2943" to="614,3005" stroked="true" strokeweight=".999328pt" strokecolor="#858585">
              <v:stroke dashstyle="solid"/>
            </v:line>
            <v:line style="position:absolute" from="1169,2943" to="1169,3005" stroked="true" strokeweight=".999328pt" strokecolor="#858585">
              <v:stroke dashstyle="solid"/>
            </v:line>
            <v:line style="position:absolute" from="1725,2943" to="1725,3005" stroked="true" strokeweight=".999328pt" strokecolor="#858585">
              <v:stroke dashstyle="solid"/>
            </v:line>
            <v:line style="position:absolute" from="2277,2943" to="2277,3005" stroked="true" strokeweight=".999328pt" strokecolor="#858585">
              <v:stroke dashstyle="solid"/>
            </v:line>
            <v:line style="position:absolute" from="2832,2943" to="2832,3005" stroked="true" strokeweight=".999328pt" strokecolor="#858585">
              <v:stroke dashstyle="solid"/>
            </v:line>
            <v:line style="position:absolute" from="3384,2943" to="3384,3005" stroked="true" strokeweight=".999328pt" strokecolor="#858585">
              <v:stroke dashstyle="solid"/>
            </v:line>
            <v:line style="position:absolute" from="3940,2943" to="3940,3005" stroked="true" strokeweight=".999328pt" strokecolor="#858585">
              <v:stroke dashstyle="solid"/>
            </v:line>
            <v:line style="position:absolute" from="4495,2943" to="4495,3005" stroked="true" strokeweight=".999328pt" strokecolor="#858585">
              <v:stroke dashstyle="solid"/>
            </v:line>
            <v:line style="position:absolute" from="5047,2943" to="5047,3005" stroked="true" strokeweight=".999328pt" strokecolor="#858585">
              <v:stroke dashstyle="solid"/>
            </v:line>
            <v:line style="position:absolute" from="5602,2943" to="5602,3005" stroked="true" strokeweight=".999328pt" strokecolor="#858585">
              <v:stroke dashstyle="solid"/>
            </v:line>
            <v:line style="position:absolute" from="6158,2943" to="6158,3005" stroked="true" strokeweight=".999328pt" strokecolor="#858585">
              <v:stroke dashstyle="solid"/>
            </v:line>
            <v:line style="position:absolute" from="6710,2943" to="6710,3005" stroked="true" strokeweight=".999328pt" strokecolor="#858585">
              <v:stroke dashstyle="solid"/>
            </v:line>
          </v:group>
        </w:pict>
      </w:r>
      <w:r>
        <w:rPr>
          <w:sz w:val="20"/>
        </w:rPr>
      </w:r>
    </w:p>
    <w:p>
      <w:pPr>
        <w:pStyle w:val="BodyText"/>
        <w:spacing w:before="2"/>
        <w:rPr>
          <w:sz w:val="9"/>
        </w:rPr>
      </w:pPr>
      <w:r>
        <w:rPr/>
        <w:drawing>
          <wp:anchor distT="0" distB="0" distL="0" distR="0" allowOverlap="1" layoutInCell="1" locked="0" behindDoc="0" simplePos="0" relativeHeight="30">
            <wp:simplePos x="0" y="0"/>
            <wp:positionH relativeFrom="page">
              <wp:posOffset>1599311</wp:posOffset>
            </wp:positionH>
            <wp:positionV relativeFrom="paragraph">
              <wp:posOffset>105976</wp:posOffset>
            </wp:positionV>
            <wp:extent cx="281461" cy="300037"/>
            <wp:effectExtent l="0" t="0" r="0" b="0"/>
            <wp:wrapTopAndBottom/>
            <wp:docPr id="17" name="image61.png" descr=""/>
            <wp:cNvGraphicFramePr>
              <a:graphicFrameLocks noChangeAspect="1"/>
            </wp:cNvGraphicFramePr>
            <a:graphic>
              <a:graphicData uri="http://schemas.openxmlformats.org/drawingml/2006/picture">
                <pic:pic>
                  <pic:nvPicPr>
                    <pic:cNvPr id="18" name="image61.png"/>
                    <pic:cNvPicPr/>
                  </pic:nvPicPr>
                  <pic:blipFill>
                    <a:blip r:embed="rId75" cstate="print"/>
                    <a:stretch>
                      <a:fillRect/>
                    </a:stretch>
                  </pic:blipFill>
                  <pic:spPr>
                    <a:xfrm>
                      <a:off x="0" y="0"/>
                      <a:ext cx="281461" cy="300037"/>
                    </a:xfrm>
                    <a:prstGeom prst="rect">
                      <a:avLst/>
                    </a:prstGeom>
                  </pic:spPr>
                </pic:pic>
              </a:graphicData>
            </a:graphic>
          </wp:anchor>
        </w:drawing>
      </w:r>
      <w:r>
        <w:rPr/>
        <w:drawing>
          <wp:anchor distT="0" distB="0" distL="0" distR="0" allowOverlap="1" layoutInCell="1" locked="0" behindDoc="0" simplePos="0" relativeHeight="31">
            <wp:simplePos x="0" y="0"/>
            <wp:positionH relativeFrom="page">
              <wp:posOffset>1964308</wp:posOffset>
            </wp:positionH>
            <wp:positionV relativeFrom="paragraph">
              <wp:posOffset>104941</wp:posOffset>
            </wp:positionV>
            <wp:extent cx="270182" cy="266700"/>
            <wp:effectExtent l="0" t="0" r="0" b="0"/>
            <wp:wrapTopAndBottom/>
            <wp:docPr id="19" name="image62.png" descr=""/>
            <wp:cNvGraphicFramePr>
              <a:graphicFrameLocks noChangeAspect="1"/>
            </wp:cNvGraphicFramePr>
            <a:graphic>
              <a:graphicData uri="http://schemas.openxmlformats.org/drawingml/2006/picture">
                <pic:pic>
                  <pic:nvPicPr>
                    <pic:cNvPr id="20" name="image62.png"/>
                    <pic:cNvPicPr/>
                  </pic:nvPicPr>
                  <pic:blipFill>
                    <a:blip r:embed="rId76" cstate="print"/>
                    <a:stretch>
                      <a:fillRect/>
                    </a:stretch>
                  </pic:blipFill>
                  <pic:spPr>
                    <a:xfrm>
                      <a:off x="0" y="0"/>
                      <a:ext cx="270182" cy="266700"/>
                    </a:xfrm>
                    <a:prstGeom prst="rect">
                      <a:avLst/>
                    </a:prstGeom>
                  </pic:spPr>
                </pic:pic>
              </a:graphicData>
            </a:graphic>
          </wp:anchor>
        </w:drawing>
      </w:r>
      <w:r>
        <w:rPr/>
        <w:drawing>
          <wp:anchor distT="0" distB="0" distL="0" distR="0" allowOverlap="1" layoutInCell="1" locked="0" behindDoc="0" simplePos="0" relativeHeight="32">
            <wp:simplePos x="0" y="0"/>
            <wp:positionH relativeFrom="page">
              <wp:posOffset>2386710</wp:posOffset>
            </wp:positionH>
            <wp:positionV relativeFrom="paragraph">
              <wp:posOffset>111878</wp:posOffset>
            </wp:positionV>
            <wp:extent cx="204471" cy="200691"/>
            <wp:effectExtent l="0" t="0" r="0" b="0"/>
            <wp:wrapTopAndBottom/>
            <wp:docPr id="21" name="image63.png" descr=""/>
            <wp:cNvGraphicFramePr>
              <a:graphicFrameLocks noChangeAspect="1"/>
            </wp:cNvGraphicFramePr>
            <a:graphic>
              <a:graphicData uri="http://schemas.openxmlformats.org/drawingml/2006/picture">
                <pic:pic>
                  <pic:nvPicPr>
                    <pic:cNvPr id="22" name="image63.png"/>
                    <pic:cNvPicPr/>
                  </pic:nvPicPr>
                  <pic:blipFill>
                    <a:blip r:embed="rId77" cstate="print"/>
                    <a:stretch>
                      <a:fillRect/>
                    </a:stretch>
                  </pic:blipFill>
                  <pic:spPr>
                    <a:xfrm>
                      <a:off x="0" y="0"/>
                      <a:ext cx="204471" cy="200691"/>
                    </a:xfrm>
                    <a:prstGeom prst="rect">
                      <a:avLst/>
                    </a:prstGeom>
                  </pic:spPr>
                </pic:pic>
              </a:graphicData>
            </a:graphic>
          </wp:anchor>
        </w:drawing>
      </w:r>
      <w:r>
        <w:rPr/>
        <w:drawing>
          <wp:anchor distT="0" distB="0" distL="0" distR="0" allowOverlap="1" layoutInCell="1" locked="0" behindDoc="0" simplePos="0" relativeHeight="33">
            <wp:simplePos x="0" y="0"/>
            <wp:positionH relativeFrom="page">
              <wp:posOffset>2766695</wp:posOffset>
            </wp:positionH>
            <wp:positionV relativeFrom="paragraph">
              <wp:posOffset>91854</wp:posOffset>
            </wp:positionV>
            <wp:extent cx="181304" cy="195262"/>
            <wp:effectExtent l="0" t="0" r="0" b="0"/>
            <wp:wrapTopAndBottom/>
            <wp:docPr id="23" name="image64.png" descr=""/>
            <wp:cNvGraphicFramePr>
              <a:graphicFrameLocks noChangeAspect="1"/>
            </wp:cNvGraphicFramePr>
            <a:graphic>
              <a:graphicData uri="http://schemas.openxmlformats.org/drawingml/2006/picture">
                <pic:pic>
                  <pic:nvPicPr>
                    <pic:cNvPr id="24" name="image64.png"/>
                    <pic:cNvPicPr/>
                  </pic:nvPicPr>
                  <pic:blipFill>
                    <a:blip r:embed="rId78" cstate="print"/>
                    <a:stretch>
                      <a:fillRect/>
                    </a:stretch>
                  </pic:blipFill>
                  <pic:spPr>
                    <a:xfrm>
                      <a:off x="0" y="0"/>
                      <a:ext cx="181304" cy="195262"/>
                    </a:xfrm>
                    <a:prstGeom prst="rect">
                      <a:avLst/>
                    </a:prstGeom>
                  </pic:spPr>
                </pic:pic>
              </a:graphicData>
            </a:graphic>
          </wp:anchor>
        </w:drawing>
      </w:r>
      <w:r>
        <w:rPr/>
        <w:drawing>
          <wp:anchor distT="0" distB="0" distL="0" distR="0" allowOverlap="1" layoutInCell="1" locked="0" behindDoc="0" simplePos="0" relativeHeight="34">
            <wp:simplePos x="0" y="0"/>
            <wp:positionH relativeFrom="page">
              <wp:posOffset>3137026</wp:posOffset>
            </wp:positionH>
            <wp:positionV relativeFrom="paragraph">
              <wp:posOffset>92604</wp:posOffset>
            </wp:positionV>
            <wp:extent cx="161358" cy="172688"/>
            <wp:effectExtent l="0" t="0" r="0" b="0"/>
            <wp:wrapTopAndBottom/>
            <wp:docPr id="25" name="image65.png" descr=""/>
            <wp:cNvGraphicFramePr>
              <a:graphicFrameLocks noChangeAspect="1"/>
            </wp:cNvGraphicFramePr>
            <a:graphic>
              <a:graphicData uri="http://schemas.openxmlformats.org/drawingml/2006/picture">
                <pic:pic>
                  <pic:nvPicPr>
                    <pic:cNvPr id="26" name="image65.png"/>
                    <pic:cNvPicPr/>
                  </pic:nvPicPr>
                  <pic:blipFill>
                    <a:blip r:embed="rId79" cstate="print"/>
                    <a:stretch>
                      <a:fillRect/>
                    </a:stretch>
                  </pic:blipFill>
                  <pic:spPr>
                    <a:xfrm>
                      <a:off x="0" y="0"/>
                      <a:ext cx="161358" cy="172688"/>
                    </a:xfrm>
                    <a:prstGeom prst="rect">
                      <a:avLst/>
                    </a:prstGeom>
                  </pic:spPr>
                </pic:pic>
              </a:graphicData>
            </a:graphic>
          </wp:anchor>
        </w:drawing>
      </w:r>
      <w:r>
        <w:rPr/>
        <w:pict>
          <v:shape style="position:absolute;margin-left:295.809998pt;margin-top:8.111173pt;width:19.55pt;height:20.2pt;mso-position-horizontal-relative:page;mso-position-vertical-relative:paragraph;z-index:-184;mso-wrap-distance-left:0;mso-wrap-distance-right:0" coordorigin="5916,162" coordsize="391,404" path="m6019,570l6006,570,6006,572,6009,574,6015,574,6018,572,6019,570xm5950,462l5946,462,5943,464,5942,466,5941,466,5939,470,5938,470,5938,472,5938,472,5938,474,5938,474,6007,542,6009,544,6010,546,6012,548,6012,550,6013,552,6013,556,6012,556,6012,558,6011,560,6009,562,6007,564,6005,564,6004,566,6004,568,6004,568,6005,570,6021,570,6024,566,6027,560,6029,556,6029,552,6029,550,6028,546,6027,542,6025,540,6023,536,6019,532,6015,526,5950,462xm5982,430l5977,430,5976,432,5972,436,5971,436,5971,438,5970,438,5970,440,5970,440,5971,442,6013,484,6017,486,6021,490,6029,494,6041,494,6050,492,6058,484,6062,480,6063,478,6036,478,6033,476,6031,476,6028,474,6025,472,6022,470,5982,430xm6024,388l6019,388,6018,390,6016,392,6015,392,6014,394,6013,394,6013,396,6012,398,6012,398,6056,442,6057,450,6057,456,6055,466,6054,470,6051,472,6046,476,6041,478,6063,478,6064,476,6066,470,6068,466,6068,462,6068,454,6068,452,6087,452,6087,450,6086,450,6024,388xm6087,452l6068,452,6076,460,6081,460,6082,458,6085,456,6086,454,6087,454,6087,452xm6056,356l6052,356,6049,358,6048,360,6046,362,6046,362,6045,364,6044,364,6044,366,6107,430,6111,430,6111,428,6113,428,6116,424,6116,424,6118,422,6118,422,6119,420,6119,418,6118,418,6056,356xm6057,294l6053,294,6051,296,6047,300,6046,302,6045,302,6045,304,6045,304,6045,306,6138,398,6139,400,6140,400,6140,398,6142,398,6143,396,6148,392,6149,392,6149,390,6150,390,6150,388,6149,388,6149,386,6057,294xm6023,386l6023,386,6021,388,6024,388,6023,386xm6088,264l6083,264,6081,266,6078,270,6077,270,6076,274,6077,274,6169,368,6172,368,6173,366,6175,366,6178,362,6179,360,6180,360,6181,358,6181,358,6181,356,6180,356,6088,264xm6054,354l6053,356,6055,356,6054,354xm6034,330l6028,330,6025,332,6023,334,6020,336,6018,338,6018,342,6020,344,6025,350,6027,352,6031,352,6033,350,6036,348,6039,344,6040,342,6040,340,6040,338,6039,336,6036,334,6034,330xm6199,234l6175,234,6170,236,6165,240,6156,250,6152,254,6150,260,6148,264,6147,270,6148,282,6150,288,6153,292,6156,298,6160,304,6171,314,6176,320,6187,324,6193,326,6204,328,6209,326,6214,324,6220,322,6225,318,6231,312,6196,312,6193,310,6189,308,6186,306,6182,304,6179,300,6187,292,6170,292,6168,288,6166,286,6164,282,6163,280,6162,276,6162,274,6161,270,6162,266,6164,260,6166,258,6174,250,6180,246,6215,246,6213,244,6209,240,6204,238,6199,234xm6243,278l6236,278,6235,282,6234,284,6233,286,6232,288,6231,290,6227,296,6225,298,6222,302,6218,306,6214,308,6207,312,6231,312,6233,310,6235,306,6238,304,6240,300,6241,298,6243,294,6244,292,6245,290,6246,288,6247,286,6247,286,6247,282,6246,282,6245,280,6244,280,6243,278xm6215,246l6180,246,6192,248,6198,252,6204,258,6170,292,6187,292,6221,258,6221,256,6222,252,6221,252,6219,250,6217,248,6215,246xm6241,276l6238,276,6237,278,6242,278,6241,276xm6087,262l6086,262,6085,264,6088,264,6087,262xm6206,172l6202,172,6201,174,6199,174,6198,176,6197,178,6196,178,6195,180,6194,180,6194,182,6194,184,6195,184,6209,198,6201,208,6219,208,6259,248,6262,250,6265,252,6269,254,6272,256,6282,256,6288,254,6291,250,6294,248,6295,246,6296,246,6297,244,6301,240,6276,240,6273,238,6269,236,6265,232,6230,196,6238,188,6221,188,6206,172xm6298,228l6291,228,6291,230,6290,230,6288,234,6288,234,6283,240,6301,240,6301,238,6302,238,6302,236,6302,236,6302,234,6302,232,6301,232,6298,228xm6185,232l6180,234,6195,234,6185,232xm6296,226l6292,226,6292,228,6297,228,6296,226xm6219,208l6200,208,6200,210,6200,210,6201,212,6201,212,6202,214,6203,214,6205,216,6206,218,6209,218,6219,208xm6240,170l6237,170,6237,172,6221,188,6238,188,6246,180,6247,180,6247,178,6246,176,6245,176,6244,174,6243,174,6242,172,6241,172,6240,170xm5925,435l5921,435,5919,436,5916,439,5914,442,5912,444,5912,448,5914,450,5919,455,5921,457,5925,457,5927,455,5933,450,5934,448,5934,446,5934,444,5933,441,5930,439,5928,436,5925,435xe" filled="true" fillcolor="#000000" stroked="false">
            <v:path arrowok="t"/>
            <v:fill type="solid"/>
            <w10:wrap type="topAndBottom"/>
          </v:shape>
        </w:pict>
      </w:r>
      <w:r>
        <w:rPr/>
        <w:drawing>
          <wp:anchor distT="0" distB="0" distL="0" distR="0" allowOverlap="1" layoutInCell="1" locked="0" behindDoc="0" simplePos="0" relativeHeight="36">
            <wp:simplePos x="0" y="0"/>
            <wp:positionH relativeFrom="page">
              <wp:posOffset>4163948</wp:posOffset>
            </wp:positionH>
            <wp:positionV relativeFrom="paragraph">
              <wp:posOffset>106865</wp:posOffset>
            </wp:positionV>
            <wp:extent cx="543783" cy="423862"/>
            <wp:effectExtent l="0" t="0" r="0" b="0"/>
            <wp:wrapTopAndBottom/>
            <wp:docPr id="27" name="image66.png" descr=""/>
            <wp:cNvGraphicFramePr>
              <a:graphicFrameLocks noChangeAspect="1"/>
            </wp:cNvGraphicFramePr>
            <a:graphic>
              <a:graphicData uri="http://schemas.openxmlformats.org/drawingml/2006/picture">
                <pic:pic>
                  <pic:nvPicPr>
                    <pic:cNvPr id="28" name="image66.png"/>
                    <pic:cNvPicPr/>
                  </pic:nvPicPr>
                  <pic:blipFill>
                    <a:blip r:embed="rId80" cstate="print"/>
                    <a:stretch>
                      <a:fillRect/>
                    </a:stretch>
                  </pic:blipFill>
                  <pic:spPr>
                    <a:xfrm>
                      <a:off x="0" y="0"/>
                      <a:ext cx="543783" cy="423862"/>
                    </a:xfrm>
                    <a:prstGeom prst="rect">
                      <a:avLst/>
                    </a:prstGeom>
                  </pic:spPr>
                </pic:pic>
              </a:graphicData>
            </a:graphic>
          </wp:anchor>
        </w:drawing>
      </w:r>
      <w:r>
        <w:rPr/>
        <w:drawing>
          <wp:anchor distT="0" distB="0" distL="0" distR="0" allowOverlap="1" layoutInCell="1" locked="0" behindDoc="0" simplePos="0" relativeHeight="37">
            <wp:simplePos x="0" y="0"/>
            <wp:positionH relativeFrom="page">
              <wp:posOffset>4753355</wp:posOffset>
            </wp:positionH>
            <wp:positionV relativeFrom="paragraph">
              <wp:posOffset>116408</wp:posOffset>
            </wp:positionV>
            <wp:extent cx="1008103" cy="390525"/>
            <wp:effectExtent l="0" t="0" r="0" b="0"/>
            <wp:wrapTopAndBottom/>
            <wp:docPr id="29" name="image67.png" descr=""/>
            <wp:cNvGraphicFramePr>
              <a:graphicFrameLocks noChangeAspect="1"/>
            </wp:cNvGraphicFramePr>
            <a:graphic>
              <a:graphicData uri="http://schemas.openxmlformats.org/drawingml/2006/picture">
                <pic:pic>
                  <pic:nvPicPr>
                    <pic:cNvPr id="30" name="image67.png"/>
                    <pic:cNvPicPr/>
                  </pic:nvPicPr>
                  <pic:blipFill>
                    <a:blip r:embed="rId81" cstate="print"/>
                    <a:stretch>
                      <a:fillRect/>
                    </a:stretch>
                  </pic:blipFill>
                  <pic:spPr>
                    <a:xfrm>
                      <a:off x="0" y="0"/>
                      <a:ext cx="1008103" cy="39052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6"/>
        </w:rPr>
      </w:pPr>
    </w:p>
    <w:p>
      <w:pPr>
        <w:pStyle w:val="BodyText"/>
        <w:spacing w:line="362" w:lineRule="auto" w:before="90"/>
        <w:ind w:left="4930" w:right="1450" w:hanging="4047"/>
      </w:pPr>
      <w:r>
        <w:rPr/>
        <w:pict>
          <v:group style="position:absolute;margin-left:71.850334pt;margin-top:-268.351898pt;width:425.5pt;height:242.5pt;mso-position-horizontal-relative:page;mso-position-vertical-relative:paragraph;z-index:-135592" coordorigin="1437,-5367" coordsize="8510,4850">
            <v:shape style="position:absolute;left:5469;top:-1905;width:280;height:275" type="#_x0000_t75" stroked="false">
              <v:imagedata r:id="rId82" o:title=""/>
            </v:shape>
            <v:shape style="position:absolute;left:1447;top:-5358;width:8490;height:4830" type="#_x0000_t202" filled="false" stroked="true" strokeweight=".999328pt" strokecolor="#858585">
              <v:textbox inset="0,0,0,0">
                <w:txbxContent>
                  <w:p>
                    <w:pPr>
                      <w:spacing w:line="240" w:lineRule="auto" w:before="6"/>
                      <w:rPr>
                        <w:sz w:val="26"/>
                      </w:rPr>
                    </w:pPr>
                  </w:p>
                  <w:p>
                    <w:pPr>
                      <w:spacing w:before="0"/>
                      <w:ind w:left="795" w:right="7432" w:firstLine="0"/>
                      <w:jc w:val="center"/>
                      <w:rPr>
                        <w:rFonts w:ascii="Calibri"/>
                        <w:sz w:val="20"/>
                      </w:rPr>
                    </w:pPr>
                    <w:r>
                      <w:rPr>
                        <w:rFonts w:ascii="Calibri"/>
                        <w:sz w:val="20"/>
                      </w:rPr>
                      <w:t>30</w:t>
                    </w:r>
                  </w:p>
                  <w:p>
                    <w:pPr>
                      <w:spacing w:line="240" w:lineRule="auto" w:before="5"/>
                      <w:rPr>
                        <w:sz w:val="18"/>
                      </w:rPr>
                    </w:pPr>
                  </w:p>
                  <w:p>
                    <w:pPr>
                      <w:spacing w:before="0"/>
                      <w:ind w:left="795" w:right="7432" w:firstLine="0"/>
                      <w:jc w:val="center"/>
                      <w:rPr>
                        <w:rFonts w:ascii="Calibri"/>
                        <w:sz w:val="20"/>
                      </w:rPr>
                    </w:pPr>
                    <w:r>
                      <w:rPr>
                        <w:rFonts w:ascii="Calibri"/>
                        <w:sz w:val="20"/>
                      </w:rPr>
                      <w:t>25</w:t>
                    </w:r>
                  </w:p>
                  <w:p>
                    <w:pPr>
                      <w:spacing w:line="240" w:lineRule="auto" w:before="5"/>
                      <w:rPr>
                        <w:sz w:val="18"/>
                      </w:rPr>
                    </w:pPr>
                  </w:p>
                  <w:p>
                    <w:pPr>
                      <w:spacing w:before="0"/>
                      <w:ind w:left="795" w:right="7432" w:firstLine="0"/>
                      <w:jc w:val="center"/>
                      <w:rPr>
                        <w:rFonts w:ascii="Calibri"/>
                        <w:sz w:val="20"/>
                      </w:rPr>
                    </w:pPr>
                    <w:r>
                      <w:rPr>
                        <w:rFonts w:ascii="Calibri"/>
                        <w:sz w:val="20"/>
                      </w:rPr>
                      <w:t>20</w:t>
                    </w:r>
                  </w:p>
                  <w:p>
                    <w:pPr>
                      <w:spacing w:line="240" w:lineRule="auto" w:before="6"/>
                      <w:rPr>
                        <w:sz w:val="18"/>
                      </w:rPr>
                    </w:pPr>
                  </w:p>
                  <w:p>
                    <w:pPr>
                      <w:spacing w:before="0"/>
                      <w:ind w:left="795" w:right="7432" w:firstLine="0"/>
                      <w:jc w:val="center"/>
                      <w:rPr>
                        <w:rFonts w:ascii="Calibri"/>
                        <w:sz w:val="20"/>
                      </w:rPr>
                    </w:pPr>
                    <w:r>
                      <w:rPr>
                        <w:rFonts w:ascii="Calibri"/>
                        <w:sz w:val="20"/>
                      </w:rPr>
                      <w:t>15</w:t>
                    </w:r>
                  </w:p>
                  <w:p>
                    <w:pPr>
                      <w:spacing w:line="240" w:lineRule="auto" w:before="5"/>
                      <w:rPr>
                        <w:sz w:val="18"/>
                      </w:rPr>
                    </w:pPr>
                  </w:p>
                  <w:p>
                    <w:pPr>
                      <w:spacing w:before="1"/>
                      <w:ind w:left="795" w:right="7432" w:firstLine="0"/>
                      <w:jc w:val="center"/>
                      <w:rPr>
                        <w:rFonts w:ascii="Calibri"/>
                        <w:sz w:val="20"/>
                      </w:rPr>
                    </w:pPr>
                    <w:r>
                      <w:rPr>
                        <w:rFonts w:ascii="Calibri"/>
                        <w:sz w:val="20"/>
                      </w:rPr>
                      <w:t>10</w:t>
                    </w:r>
                  </w:p>
                  <w:p>
                    <w:pPr>
                      <w:spacing w:line="240" w:lineRule="auto" w:before="5"/>
                      <w:rPr>
                        <w:sz w:val="18"/>
                      </w:rPr>
                    </w:pPr>
                  </w:p>
                  <w:p>
                    <w:pPr>
                      <w:spacing w:before="0"/>
                      <w:ind w:left="0" w:right="6529" w:firstLine="0"/>
                      <w:jc w:val="center"/>
                      <w:rPr>
                        <w:rFonts w:ascii="Calibri"/>
                        <w:sz w:val="20"/>
                      </w:rPr>
                    </w:pPr>
                    <w:r>
                      <w:rPr>
                        <w:rFonts w:ascii="Calibri"/>
                        <w:sz w:val="20"/>
                      </w:rPr>
                      <w:t>5</w:t>
                    </w:r>
                  </w:p>
                  <w:p>
                    <w:pPr>
                      <w:spacing w:line="240" w:lineRule="auto" w:before="5"/>
                      <w:rPr>
                        <w:sz w:val="18"/>
                      </w:rPr>
                    </w:pPr>
                  </w:p>
                  <w:p>
                    <w:pPr>
                      <w:spacing w:before="0"/>
                      <w:ind w:left="0" w:right="6529" w:firstLine="0"/>
                      <w:jc w:val="center"/>
                      <w:rPr>
                        <w:rFonts w:ascii="Calibri"/>
                        <w:sz w:val="20"/>
                      </w:rPr>
                    </w:pPr>
                    <w:r>
                      <w:rPr>
                        <w:rFonts w:ascii="Calibri"/>
                        <w:sz w:val="20"/>
                      </w:rPr>
                      <w:t>0</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3"/>
                      <w:rPr>
                        <w:sz w:val="28"/>
                      </w:rPr>
                    </w:pPr>
                  </w:p>
                  <w:p>
                    <w:pPr>
                      <w:spacing w:before="0"/>
                      <w:ind w:left="795" w:right="205" w:firstLine="0"/>
                      <w:jc w:val="center"/>
                      <w:rPr>
                        <w:rFonts w:ascii="Calibri"/>
                        <w:b/>
                        <w:sz w:val="20"/>
                      </w:rPr>
                    </w:pPr>
                    <w:r>
                      <w:rPr>
                        <w:rFonts w:ascii="Calibri"/>
                        <w:b/>
                        <w:sz w:val="20"/>
                      </w:rPr>
                      <w:t>mois</w:t>
                    </w:r>
                  </w:p>
                </w:txbxContent>
              </v:textbox>
              <v:stroke dashstyle="solid"/>
              <w10:wrap type="none"/>
            </v:shape>
            <w10:wrap type="none"/>
          </v:group>
        </w:pict>
      </w:r>
      <w:r>
        <w:rPr>
          <w:b/>
        </w:rPr>
        <w:t>Figure 07:</w:t>
      </w:r>
      <w:r>
        <w:rPr/>
        <w:t>Variation des températures mensuelles durant la période (2002-2015). (O.N.M, 2015)</w:t>
      </w:r>
    </w:p>
    <w:p>
      <w:pPr>
        <w:spacing w:after="0" w:line="362" w:lineRule="auto"/>
        <w:sectPr>
          <w:pgSz w:w="11900" w:h="16840"/>
          <w:pgMar w:header="727" w:footer="1061" w:top="1180" w:bottom="1260" w:left="74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line="300" w:lineRule="auto" w:before="242"/>
        <w:ind w:right="2447" w:hanging="1076"/>
      </w:pPr>
      <w:r>
        <w:rPr>
          <w:color w:val="8063A1"/>
        </w:rPr>
        <w:t>Chapitre </w:t>
      </w:r>
      <w:r>
        <w:rPr>
          <w:b w:val="0"/>
          <w:i w:val="0"/>
          <w:color w:val="8063A1"/>
          <w:sz w:val="144"/>
        </w:rPr>
        <w:t>III</w:t>
      </w:r>
      <w:r>
        <w:rPr>
          <w:color w:val="8063A1"/>
        </w:rPr>
        <w:t>: Matériel</w:t>
      </w:r>
    </w:p>
    <w:p>
      <w:pPr>
        <w:spacing w:line="312" w:lineRule="auto" w:before="72"/>
        <w:ind w:left="2798" w:right="3477" w:firstLine="1531"/>
        <w:jc w:val="left"/>
        <w:rPr>
          <w:rFonts w:ascii="Lucida Calligraphy" w:hAnsi="Lucida Calligraphy"/>
          <w:b/>
          <w:i/>
          <w:sz w:val="96"/>
        </w:rPr>
      </w:pPr>
      <w:r>
        <w:rPr>
          <w:rFonts w:ascii="Lucida Calligraphy" w:hAnsi="Lucida Calligraphy"/>
          <w:b/>
          <w:i/>
          <w:color w:val="8063A1"/>
          <w:sz w:val="96"/>
        </w:rPr>
        <w:t>Et Méthodes</w:t>
      </w:r>
    </w:p>
    <w:p>
      <w:pPr>
        <w:spacing w:after="0" w:line="312" w:lineRule="auto"/>
        <w:jc w:val="left"/>
        <w:rPr>
          <w:rFonts w:ascii="Lucida Calligraphy" w:hAnsi="Lucida Calligraphy"/>
          <w:sz w:val="96"/>
        </w:rPr>
        <w:sectPr>
          <w:headerReference w:type="default" r:id="rId83"/>
          <w:footerReference w:type="default" r:id="rId84"/>
          <w:pgSz w:w="11900" w:h="16840"/>
          <w:pgMar w:header="0" w:footer="0" w:top="1600" w:bottom="280" w:left="740" w:right="0"/>
          <w:pgBorders w:offsetFrom="page">
            <w:top w:val="single" w:color="000000" w:space="24" w:sz="36"/>
            <w:left w:val="single" w:color="000000" w:space="24" w:sz="36"/>
            <w:bottom w:val="single" w:color="000000" w:space="24" w:sz="36"/>
            <w:right w:val="single" w:color="000000" w:space="23" w:sz="36"/>
          </w:pgBorders>
        </w:sectPr>
      </w:pPr>
    </w:p>
    <w:p>
      <w:pPr>
        <w:pStyle w:val="BodyText"/>
        <w:spacing w:before="7"/>
        <w:rPr>
          <w:rFonts w:ascii="Lucida Calligraphy"/>
          <w:b/>
          <w:i/>
          <w:sz w:val="13"/>
        </w:rPr>
      </w:pPr>
    </w:p>
    <w:p>
      <w:pPr>
        <w:pStyle w:val="BodyText"/>
        <w:spacing w:line="278" w:lineRule="auto" w:before="90"/>
        <w:ind w:left="675" w:right="1431" w:firstLine="707"/>
        <w:jc w:val="both"/>
      </w:pPr>
      <w:r>
        <w:rPr>
          <w:color w:val="1B1B1B"/>
        </w:rPr>
        <w:t>L’objectif de notre travail consiste à déterminer la qualité de l’eau de sources par réalisation des analyses physico-chimiques et bactériologiques.</w:t>
      </w:r>
    </w:p>
    <w:p>
      <w:pPr>
        <w:pStyle w:val="BodyText"/>
        <w:spacing w:line="276" w:lineRule="auto" w:before="195"/>
        <w:ind w:left="675" w:right="1428" w:firstLine="707"/>
        <w:jc w:val="both"/>
      </w:pPr>
      <w:r>
        <w:rPr>
          <w:color w:val="1B1B1B"/>
        </w:rPr>
        <w:t>Nous avons suivi la qualité de l’eau brute à travers des analyses qui ont été effectué au niveau de laboratoire ADE (Algérienne des eaux) à Hammam Debagh et cela pour une durée estimé de quatre mois a partir de 3 prélèvement pour chaque source échantillonné.</w:t>
      </w:r>
    </w:p>
    <w:p>
      <w:pPr>
        <w:pStyle w:val="BodyText"/>
        <w:rPr>
          <w:sz w:val="26"/>
        </w:rPr>
      </w:pPr>
    </w:p>
    <w:p>
      <w:pPr>
        <w:pStyle w:val="BodyText"/>
        <w:rPr>
          <w:sz w:val="26"/>
        </w:rPr>
      </w:pPr>
    </w:p>
    <w:p>
      <w:pPr>
        <w:pStyle w:val="Heading3"/>
        <w:numPr>
          <w:ilvl w:val="1"/>
          <w:numId w:val="21"/>
        </w:numPr>
        <w:tabs>
          <w:tab w:pos="1355" w:val="left" w:leader="none"/>
        </w:tabs>
        <w:spacing w:line="240" w:lineRule="auto" w:before="176" w:after="0"/>
        <w:ind w:left="1354" w:right="0" w:hanging="679"/>
        <w:jc w:val="left"/>
        <w:rPr>
          <w:color w:val="1B1B1B"/>
        </w:rPr>
      </w:pPr>
      <w:bookmarkStart w:name="_TOC_250042" w:id="39"/>
      <w:r>
        <w:rPr>
          <w:color w:val="1B1B1B"/>
        </w:rPr>
        <w:t>Choix des sites</w:t>
      </w:r>
      <w:r>
        <w:rPr>
          <w:color w:val="1B1B1B"/>
          <w:spacing w:val="-1"/>
        </w:rPr>
        <w:t> </w:t>
      </w:r>
      <w:bookmarkEnd w:id="39"/>
      <w:r>
        <w:rPr>
          <w:color w:val="1B1B1B"/>
        </w:rPr>
        <w:t>:</w:t>
      </w:r>
    </w:p>
    <w:p>
      <w:pPr>
        <w:pStyle w:val="BodyText"/>
        <w:spacing w:line="278" w:lineRule="auto" w:before="243"/>
        <w:ind w:left="675" w:right="1414" w:firstLine="707"/>
        <w:jc w:val="both"/>
      </w:pPr>
      <w:r>
        <w:rPr>
          <w:color w:val="1B1B1B"/>
        </w:rPr>
        <w:t>Pour la réalisation de cette étude, nous avons retenu 06 sources (Photo 01) qui sont les suivants:</w:t>
      </w:r>
    </w:p>
    <w:p>
      <w:pPr>
        <w:spacing w:before="195"/>
        <w:ind w:left="675" w:right="0" w:firstLine="0"/>
        <w:jc w:val="left"/>
        <w:rPr>
          <w:sz w:val="24"/>
        </w:rPr>
      </w:pPr>
      <w:r>
        <w:rPr>
          <w:b/>
          <w:color w:val="1B1B1B"/>
          <w:sz w:val="24"/>
        </w:rPr>
        <w:t>Source 01: </w:t>
      </w:r>
      <w:r>
        <w:rPr>
          <w:color w:val="1B1B1B"/>
          <w:sz w:val="24"/>
        </w:rPr>
        <w:t>Ain Askor (Nechmaya) (SAA).</w:t>
      </w:r>
    </w:p>
    <w:p>
      <w:pPr>
        <w:pStyle w:val="BodyText"/>
        <w:spacing w:before="10"/>
        <w:rPr>
          <w:sz w:val="20"/>
        </w:rPr>
      </w:pPr>
    </w:p>
    <w:p>
      <w:pPr>
        <w:spacing w:line="451" w:lineRule="auto" w:before="0"/>
        <w:ind w:left="675" w:right="5026" w:firstLine="0"/>
        <w:jc w:val="left"/>
        <w:rPr>
          <w:sz w:val="24"/>
        </w:rPr>
      </w:pPr>
      <w:r>
        <w:rPr>
          <w:b/>
          <w:color w:val="1B1B1B"/>
          <w:sz w:val="24"/>
        </w:rPr>
        <w:t>Source 02: </w:t>
      </w:r>
      <w:r>
        <w:rPr>
          <w:color w:val="1B1B1B"/>
          <w:sz w:val="24"/>
        </w:rPr>
        <w:t>Ain Bouzerrafa (Nechmaya) (SABZ). </w:t>
      </w:r>
      <w:r>
        <w:rPr>
          <w:b/>
          <w:color w:val="1B1B1B"/>
          <w:sz w:val="24"/>
        </w:rPr>
        <w:t>Source 03: </w:t>
      </w:r>
      <w:r>
        <w:rPr>
          <w:color w:val="1B1B1B"/>
          <w:sz w:val="24"/>
        </w:rPr>
        <w:t>Boua Ouled Chiha (Nechmaya) (SBWC). </w:t>
      </w:r>
      <w:r>
        <w:rPr>
          <w:b/>
          <w:color w:val="1B1B1B"/>
          <w:sz w:val="24"/>
        </w:rPr>
        <w:t>Source 04: </w:t>
      </w:r>
      <w:r>
        <w:rPr>
          <w:color w:val="1B1B1B"/>
          <w:sz w:val="24"/>
        </w:rPr>
        <w:t>Ain Drahem (Oued Zenati) (SAD).</w:t>
      </w:r>
    </w:p>
    <w:p>
      <w:pPr>
        <w:spacing w:line="271" w:lineRule="exact" w:before="0"/>
        <w:ind w:left="675" w:right="0" w:firstLine="0"/>
        <w:jc w:val="left"/>
        <w:rPr>
          <w:sz w:val="24"/>
        </w:rPr>
      </w:pPr>
      <w:r>
        <w:rPr>
          <w:b/>
          <w:color w:val="1B1B1B"/>
          <w:sz w:val="24"/>
        </w:rPr>
        <w:t>Source 05: </w:t>
      </w:r>
      <w:r>
        <w:rPr>
          <w:color w:val="1B1B1B"/>
          <w:sz w:val="24"/>
        </w:rPr>
        <w:t>Ain Guettara (Ain Makhlouf) (SAG).</w:t>
      </w:r>
    </w:p>
    <w:p>
      <w:pPr>
        <w:pStyle w:val="BodyText"/>
        <w:spacing w:before="2"/>
        <w:rPr>
          <w:sz w:val="21"/>
        </w:rPr>
      </w:pPr>
    </w:p>
    <w:p>
      <w:pPr>
        <w:spacing w:before="1"/>
        <w:ind w:left="675" w:right="0" w:firstLine="0"/>
        <w:jc w:val="left"/>
        <w:rPr>
          <w:sz w:val="24"/>
        </w:rPr>
      </w:pPr>
      <w:r>
        <w:rPr>
          <w:b/>
          <w:color w:val="1B1B1B"/>
          <w:sz w:val="24"/>
        </w:rPr>
        <w:t>Source 06: </w:t>
      </w:r>
      <w:r>
        <w:rPr>
          <w:color w:val="1B1B1B"/>
          <w:sz w:val="24"/>
        </w:rPr>
        <w:t>Ain Bniguimen (Ras El Agba) (SBG).</w:t>
      </w:r>
    </w:p>
    <w:p>
      <w:pPr>
        <w:spacing w:after="0"/>
        <w:jc w:val="left"/>
        <w:rPr>
          <w:sz w:val="24"/>
        </w:rPr>
        <w:sectPr>
          <w:headerReference w:type="default" r:id="rId85"/>
          <w:footerReference w:type="default" r:id="rId86"/>
          <w:pgSz w:w="11900" w:h="16840"/>
          <w:pgMar w:header="727" w:footer="1061" w:top="1180" w:bottom="1260" w:left="740" w:right="0"/>
          <w:pgNumType w:start="24"/>
        </w:sectPr>
      </w:pPr>
    </w:p>
    <w:p>
      <w:pPr>
        <w:pStyle w:val="BodyText"/>
        <w:spacing w:before="6"/>
        <w:rPr>
          <w:sz w:val="22"/>
        </w:rPr>
      </w:pPr>
    </w:p>
    <w:p>
      <w:pPr>
        <w:tabs>
          <w:tab w:pos="5573" w:val="left" w:leader="none"/>
        </w:tabs>
        <w:spacing w:line="240" w:lineRule="auto"/>
        <w:ind w:left="1216" w:right="0" w:firstLine="0"/>
        <w:rPr>
          <w:sz w:val="20"/>
        </w:rPr>
      </w:pPr>
      <w:r>
        <w:rPr>
          <w:sz w:val="20"/>
        </w:rPr>
        <w:pict>
          <v:group style="width:167.3pt;height:151.1pt;mso-position-horizontal-relative:char;mso-position-vertical-relative:line" coordorigin="0,0" coordsize="3346,3022">
            <v:shape style="position:absolute;left:0;top:0;width:3346;height:3022" type="#_x0000_t75" stroked="false">
              <v:imagedata r:id="rId87" o:title=""/>
            </v:shape>
            <v:shape style="position:absolute;left:99;top:99;width:3058;height:2737" type="#_x0000_t75" stroked="false">
              <v:imagedata r:id="rId88" o:title=""/>
            </v:shape>
            <v:rect style="position:absolute;left:69;top:69;width:3118;height:2797" filled="false" stroked="true" strokeweight="2.997985pt" strokecolor="#000000">
              <v:stroke dashstyle="solid"/>
            </v:rect>
          </v:group>
        </w:pict>
      </w:r>
      <w:r>
        <w:rPr>
          <w:sz w:val="20"/>
        </w:rPr>
      </w:r>
      <w:r>
        <w:rPr>
          <w:sz w:val="20"/>
        </w:rPr>
        <w:tab/>
      </w:r>
      <w:r>
        <w:rPr>
          <w:sz w:val="20"/>
        </w:rPr>
        <w:pict>
          <v:group style="width:177.7pt;height:148.5pt;mso-position-horizontal-relative:char;mso-position-vertical-relative:line" coordorigin="0,0" coordsize="3554,2970">
            <v:shape style="position:absolute;left:0;top:0;width:3554;height:2970" type="#_x0000_t75" stroked="false">
              <v:imagedata r:id="rId89" o:title=""/>
            </v:shape>
            <v:shape style="position:absolute;left:99;top:101;width:3268;height:2684" type="#_x0000_t75" stroked="false">
              <v:imagedata r:id="rId90" o:title=""/>
            </v:shape>
            <v:rect style="position:absolute;left:69;top:71;width:3328;height:2744" filled="false" stroked="true" strokeweight="2.997985pt" strokecolor="#000000">
              <v:stroke dashstyle="solid"/>
            </v:rect>
          </v:group>
        </w:pict>
      </w:r>
      <w:r>
        <w:rPr>
          <w:sz w:val="20"/>
        </w:rPr>
      </w:r>
    </w:p>
    <w:p>
      <w:pPr>
        <w:pStyle w:val="BodyText"/>
        <w:spacing w:before="5"/>
        <w:rPr>
          <w:sz w:val="6"/>
        </w:rPr>
      </w:pPr>
    </w:p>
    <w:p>
      <w:pPr>
        <w:pStyle w:val="ListParagraph"/>
        <w:numPr>
          <w:ilvl w:val="2"/>
          <w:numId w:val="21"/>
        </w:numPr>
        <w:tabs>
          <w:tab w:pos="2571" w:val="left" w:leader="none"/>
          <w:tab w:pos="6805" w:val="left" w:leader="none"/>
        </w:tabs>
        <w:spacing w:line="240" w:lineRule="auto" w:before="90" w:after="0"/>
        <w:ind w:left="2570" w:right="0" w:hanging="359"/>
        <w:jc w:val="left"/>
        <w:rPr>
          <w:sz w:val="24"/>
        </w:rPr>
      </w:pPr>
      <w:r>
        <w:rPr>
          <w:color w:val="1B1B1B"/>
          <w:sz w:val="24"/>
        </w:rPr>
        <w:t>Ain</w:t>
      </w:r>
      <w:r>
        <w:rPr>
          <w:color w:val="1B1B1B"/>
          <w:spacing w:val="-1"/>
          <w:sz w:val="24"/>
        </w:rPr>
        <w:t> </w:t>
      </w:r>
      <w:r>
        <w:rPr>
          <w:color w:val="1B1B1B"/>
          <w:sz w:val="24"/>
        </w:rPr>
        <w:t>Askor</w:t>
        <w:tab/>
      </w:r>
      <w:r>
        <w:rPr>
          <w:b/>
          <w:color w:val="1B1B1B"/>
          <w:spacing w:val="-3"/>
          <w:sz w:val="24"/>
        </w:rPr>
        <w:t>b) </w:t>
      </w:r>
      <w:r>
        <w:rPr>
          <w:color w:val="1B1B1B"/>
          <w:sz w:val="24"/>
        </w:rPr>
        <w:t>Ain</w:t>
      </w:r>
      <w:r>
        <w:rPr>
          <w:color w:val="1B1B1B"/>
          <w:spacing w:val="10"/>
          <w:sz w:val="24"/>
        </w:rPr>
        <w:t> </w:t>
      </w:r>
      <w:r>
        <w:rPr>
          <w:color w:val="1B1B1B"/>
          <w:sz w:val="24"/>
        </w:rPr>
        <w:t>Bouzerrafa</w:t>
      </w:r>
    </w:p>
    <w:p>
      <w:pPr>
        <w:pStyle w:val="BodyText"/>
        <w:spacing w:before="9"/>
        <w:rPr>
          <w:sz w:val="14"/>
        </w:rPr>
      </w:pPr>
      <w:r>
        <w:rPr/>
        <w:pict>
          <v:group style="position:absolute;margin-left:100.532417pt;margin-top:11.984703pt;width:178.1pt;height:143.1pt;mso-position-horizontal-relative:page;mso-position-vertical-relative:paragraph;z-index:8;mso-wrap-distance-left:0;mso-wrap-distance-right:0" coordorigin="2011,240" coordsize="3562,2862">
            <v:shape style="position:absolute;left:2010;top:239;width:3562;height:2862" type="#_x0000_t75" stroked="false">
              <v:imagedata r:id="rId91" o:title=""/>
            </v:shape>
            <v:shape style="position:absolute;left:2111;top:336;width:3276;height:2580" type="#_x0000_t75" stroked="false">
              <v:imagedata r:id="rId92" o:title=""/>
            </v:shape>
            <v:rect style="position:absolute;left:2081;top:306;width:3336;height:2640" filled="false" stroked="true" strokeweight="2.997985pt" strokecolor="#000000">
              <v:stroke dashstyle="solid"/>
            </v:rect>
            <w10:wrap type="topAndBottom"/>
          </v:group>
        </w:pict>
      </w:r>
      <w:r>
        <w:rPr/>
        <w:pict>
          <v:group style="position:absolute;margin-left:320.784332pt;margin-top:11.984703pt;width:171.1pt;height:143.1pt;mso-position-horizontal-relative:page;mso-position-vertical-relative:paragraph;z-index:32;mso-wrap-distance-left:0;mso-wrap-distance-right:0" coordorigin="6416,240" coordsize="3422,2862">
            <v:shape style="position:absolute;left:6415;top:239;width:3422;height:2862" type="#_x0000_t75" stroked="false">
              <v:imagedata r:id="rId93" o:title=""/>
            </v:shape>
            <v:shape style="position:absolute;left:6518;top:335;width:3133;height:2579" type="#_x0000_t75" stroked="false">
              <v:imagedata r:id="rId94" o:title=""/>
            </v:shape>
            <v:rect style="position:absolute;left:6488;top:305;width:3193;height:2639" filled="false" stroked="true" strokeweight="2.997985pt" strokecolor="#000000">
              <v:stroke dashstyle="solid"/>
            </v:rect>
            <w10:wrap type="topAndBottom"/>
          </v:group>
        </w:pict>
      </w:r>
    </w:p>
    <w:p>
      <w:pPr>
        <w:pStyle w:val="BodyText"/>
        <w:tabs>
          <w:tab w:pos="6185" w:val="left" w:leader="none"/>
        </w:tabs>
        <w:spacing w:before="142"/>
        <w:ind w:left="1935"/>
      </w:pPr>
      <w:r>
        <w:rPr>
          <w:b/>
        </w:rPr>
        <w:t>c) </w:t>
      </w:r>
      <w:r>
        <w:rPr>
          <w:color w:val="1B1B1B"/>
        </w:rPr>
        <w:t>Boua</w:t>
      </w:r>
      <w:r>
        <w:rPr>
          <w:color w:val="1B1B1B"/>
          <w:spacing w:val="-1"/>
        </w:rPr>
        <w:t> </w:t>
      </w:r>
      <w:r>
        <w:rPr>
          <w:color w:val="1B1B1B"/>
        </w:rPr>
        <w:t>Ouled Chiha</w:t>
        <w:tab/>
      </w:r>
      <w:r>
        <w:rPr>
          <w:b/>
          <w:spacing w:val="-3"/>
        </w:rPr>
        <w:t>d) </w:t>
      </w:r>
      <w:r>
        <w:rPr/>
        <w:t>Ain</w:t>
      </w:r>
      <w:r>
        <w:rPr>
          <w:spacing w:val="9"/>
        </w:rPr>
        <w:t> </w:t>
      </w:r>
      <w:r>
        <w:rPr/>
        <w:t>Drahem</w:t>
      </w:r>
    </w:p>
    <w:p>
      <w:pPr>
        <w:pStyle w:val="BodyText"/>
        <w:spacing w:before="7"/>
        <w:rPr>
          <w:sz w:val="14"/>
        </w:rPr>
      </w:pPr>
      <w:r>
        <w:rPr/>
        <w:pict>
          <v:group style="position:absolute;margin-left:99.732956pt;margin-top:14.525374pt;width:179.9pt;height:141.550pt;mso-position-horizontal-relative:page;mso-position-vertical-relative:paragraph;z-index:56;mso-wrap-distance-left:0;mso-wrap-distance-right:0" coordorigin="1995,291" coordsize="3598,2831">
            <v:shape style="position:absolute;left:1994;top:290;width:3598;height:2831" type="#_x0000_t75" stroked="false">
              <v:imagedata r:id="rId95" o:title=""/>
            </v:shape>
            <v:shape style="position:absolute;left:2096;top:393;width:3310;height:2542" type="#_x0000_t75" stroked="false">
              <v:imagedata r:id="rId96" o:title=""/>
            </v:shape>
            <v:rect style="position:absolute;left:2066;top:363;width:3370;height:2602" filled="false" stroked="true" strokeweight="2.997985pt" strokecolor="#000000">
              <v:stroke dashstyle="solid"/>
            </v:rect>
            <w10:wrap type="topAndBottom"/>
          </v:group>
        </w:pict>
      </w:r>
      <w:r>
        <w:rPr/>
        <w:pict>
          <v:group style="position:absolute;margin-left:318.585815pt;margin-top:11.855975pt;width:175.1pt;height:144.2pt;mso-position-horizontal-relative:page;mso-position-vertical-relative:paragraph;z-index:80;mso-wrap-distance-left:0;mso-wrap-distance-right:0" coordorigin="6372,237" coordsize="3502,2884">
            <v:shape style="position:absolute;left:6371;top:237;width:3502;height:2884" type="#_x0000_t75" stroked="false">
              <v:imagedata r:id="rId97" o:title=""/>
            </v:shape>
            <v:shape style="position:absolute;left:6473;top:333;width:3216;height:2599" type="#_x0000_t75" stroked="false">
              <v:imagedata r:id="rId98" o:title=""/>
            </v:shape>
            <v:rect style="position:absolute;left:6443;top:303;width:3275;height:2659" filled="false" stroked="true" strokeweight="2.997985pt" strokecolor="#000000">
              <v:stroke dashstyle="solid"/>
            </v:rect>
            <w10:wrap type="topAndBottom"/>
          </v:group>
        </w:pict>
      </w:r>
    </w:p>
    <w:p>
      <w:pPr>
        <w:pStyle w:val="BodyText"/>
        <w:tabs>
          <w:tab w:pos="6245" w:val="left" w:leader="none"/>
        </w:tabs>
        <w:spacing w:before="123"/>
        <w:ind w:left="2115"/>
      </w:pPr>
      <w:r>
        <w:rPr>
          <w:b/>
        </w:rPr>
        <w:t>e)</w:t>
      </w:r>
      <w:r>
        <w:rPr>
          <w:b/>
          <w:spacing w:val="-3"/>
        </w:rPr>
        <w:t> </w:t>
      </w:r>
      <w:r>
        <w:rPr>
          <w:color w:val="1B1B1B"/>
        </w:rPr>
        <w:t>Ain</w:t>
      </w:r>
      <w:r>
        <w:rPr>
          <w:color w:val="1B1B1B"/>
          <w:spacing w:val="1"/>
        </w:rPr>
        <w:t> </w:t>
      </w:r>
      <w:r>
        <w:rPr>
          <w:color w:val="1B1B1B"/>
        </w:rPr>
        <w:t>Guettara</w:t>
        <w:tab/>
      </w:r>
      <w:r>
        <w:rPr>
          <w:b/>
          <w:color w:val="1B1B1B"/>
        </w:rPr>
        <w:t>f) </w:t>
      </w:r>
      <w:r>
        <w:rPr>
          <w:color w:val="1B1B1B"/>
        </w:rPr>
        <w:t>Ain</w:t>
      </w:r>
      <w:r>
        <w:rPr>
          <w:color w:val="1B1B1B"/>
          <w:spacing w:val="3"/>
        </w:rPr>
        <w:t> </w:t>
      </w:r>
      <w:r>
        <w:rPr>
          <w:color w:val="1B1B1B"/>
        </w:rPr>
        <w:t>Bniguimen</w:t>
      </w:r>
    </w:p>
    <w:p>
      <w:pPr>
        <w:pStyle w:val="BodyText"/>
        <w:rPr>
          <w:sz w:val="26"/>
        </w:rPr>
      </w:pPr>
    </w:p>
    <w:p>
      <w:pPr>
        <w:pStyle w:val="BodyText"/>
        <w:rPr>
          <w:sz w:val="26"/>
        </w:rPr>
      </w:pPr>
    </w:p>
    <w:p>
      <w:pPr>
        <w:pStyle w:val="BodyText"/>
        <w:spacing w:before="158"/>
        <w:ind w:left="2207"/>
      </w:pPr>
      <w:r>
        <w:rPr>
          <w:b/>
        </w:rPr>
        <w:t>Photo 01 : </w:t>
      </w:r>
      <w:r>
        <w:rPr/>
        <w:t>Photos représentant les 06 sources échantillonnées.</w:t>
      </w:r>
    </w:p>
    <w:p>
      <w:pPr>
        <w:spacing w:after="0"/>
        <w:sectPr>
          <w:pgSz w:w="11900" w:h="16840"/>
          <w:pgMar w:header="727" w:footer="1061" w:top="1180" w:bottom="1260" w:left="740" w:right="0"/>
        </w:sectPr>
      </w:pPr>
    </w:p>
    <w:p>
      <w:pPr>
        <w:pStyle w:val="BodyText"/>
        <w:spacing w:before="4"/>
        <w:rPr>
          <w:sz w:val="16"/>
        </w:rPr>
      </w:pPr>
    </w:p>
    <w:p>
      <w:pPr>
        <w:pStyle w:val="Heading3"/>
        <w:numPr>
          <w:ilvl w:val="1"/>
          <w:numId w:val="21"/>
        </w:numPr>
        <w:tabs>
          <w:tab w:pos="1355" w:val="left" w:leader="none"/>
        </w:tabs>
        <w:spacing w:line="240" w:lineRule="auto" w:before="88" w:after="0"/>
        <w:ind w:left="1354" w:right="0" w:hanging="679"/>
        <w:jc w:val="left"/>
      </w:pPr>
      <w:bookmarkStart w:name="_TOC_250041" w:id="40"/>
      <w:r>
        <w:rPr/>
        <w:t>Le prélèvement (l’échantillonnage)</w:t>
      </w:r>
      <w:r>
        <w:rPr>
          <w:spacing w:val="1"/>
        </w:rPr>
        <w:t> </w:t>
      </w:r>
      <w:bookmarkEnd w:id="40"/>
      <w:r>
        <w:rPr/>
        <w:t>:</w:t>
      </w:r>
    </w:p>
    <w:p>
      <w:pPr>
        <w:pStyle w:val="BodyText"/>
        <w:spacing w:line="276" w:lineRule="auto" w:before="247"/>
        <w:ind w:left="675" w:right="1417" w:firstLine="707"/>
        <w:jc w:val="both"/>
      </w:pPr>
      <w:r>
        <w:rPr/>
        <w:t>Les prélèvements des échantillons de l’eau doivent être effectués dans des conditions générales rigoureuses d’hygiène de façon à éviter de contaminer les échantillons d’eau prélevés et de souiller le milieu par l’apport de pollutions </w:t>
      </w:r>
      <w:r>
        <w:rPr>
          <w:color w:val="242424"/>
        </w:rPr>
        <w:t>extérieures. (Anonyme, 2006, b).</w:t>
      </w:r>
    </w:p>
    <w:p>
      <w:pPr>
        <w:pStyle w:val="Heading4"/>
        <w:numPr>
          <w:ilvl w:val="2"/>
          <w:numId w:val="22"/>
        </w:numPr>
        <w:tabs>
          <w:tab w:pos="1372" w:val="left" w:leader="none"/>
        </w:tabs>
        <w:spacing w:line="240" w:lineRule="auto" w:before="204" w:after="0"/>
        <w:ind w:left="1371" w:right="0" w:hanging="696"/>
        <w:jc w:val="left"/>
      </w:pPr>
      <w:bookmarkStart w:name="_TOC_250040" w:id="41"/>
      <w:r>
        <w:rPr/>
        <w:t>Prélèvements pour les analyses physicochimiques</w:t>
      </w:r>
      <w:r>
        <w:rPr>
          <w:spacing w:val="2"/>
        </w:rPr>
        <w:t> </w:t>
      </w:r>
      <w:bookmarkEnd w:id="41"/>
      <w:r>
        <w:rPr/>
        <w:t>:</w:t>
      </w:r>
    </w:p>
    <w:p>
      <w:pPr>
        <w:pStyle w:val="BodyText"/>
        <w:spacing w:before="2"/>
        <w:rPr>
          <w:b/>
          <w:sz w:val="29"/>
        </w:rPr>
      </w:pPr>
    </w:p>
    <w:p>
      <w:pPr>
        <w:pStyle w:val="BodyText"/>
        <w:spacing w:line="360" w:lineRule="auto"/>
        <w:ind w:left="675" w:right="1415" w:firstLine="707"/>
        <w:jc w:val="both"/>
      </w:pPr>
      <w:r>
        <w:rPr/>
        <w:t>Pour les analyses physicochimiques, les échantillons sont prélevés dans des flacons en plastiques. Une fois les prélèvements effectués, les flacons sont étiquetés et placés dans une glacière à l'abri de la lumière et à une température de 4°Cet les analyses sont effectué dans les 24 heures suivante. (Rodier, 2009).</w:t>
      </w:r>
    </w:p>
    <w:p>
      <w:pPr>
        <w:pStyle w:val="Heading4"/>
        <w:numPr>
          <w:ilvl w:val="2"/>
          <w:numId w:val="22"/>
        </w:numPr>
        <w:tabs>
          <w:tab w:pos="1432" w:val="left" w:leader="none"/>
        </w:tabs>
        <w:spacing w:line="240" w:lineRule="auto" w:before="200" w:after="0"/>
        <w:ind w:left="1431" w:right="0" w:hanging="756"/>
        <w:jc w:val="left"/>
      </w:pPr>
      <w:bookmarkStart w:name="_TOC_250039" w:id="42"/>
      <w:r>
        <w:rPr/>
        <w:t>Prélèvements pour les analyses microbiologiques</w:t>
      </w:r>
      <w:r>
        <w:rPr>
          <w:spacing w:val="4"/>
        </w:rPr>
        <w:t> </w:t>
      </w:r>
      <w:bookmarkEnd w:id="42"/>
      <w:r>
        <w:rPr/>
        <w:t>:</w:t>
      </w:r>
    </w:p>
    <w:p>
      <w:pPr>
        <w:pStyle w:val="BodyText"/>
        <w:spacing w:before="2"/>
        <w:rPr>
          <w:b/>
          <w:sz w:val="29"/>
        </w:rPr>
      </w:pPr>
    </w:p>
    <w:p>
      <w:pPr>
        <w:pStyle w:val="BodyText"/>
        <w:spacing w:line="360" w:lineRule="auto"/>
        <w:ind w:left="675" w:right="1428" w:firstLine="707"/>
        <w:jc w:val="both"/>
      </w:pPr>
      <w:r>
        <w:rPr/>
        <w:t>Les échantillons d’eau sont prélevés soigneusement dans des flacons stériles de 500ml en verre à bouchon rodé. Ces prélèvements sont  effectués  aseptiquement en  laissant  dans  le flacon un espace d’air afin de faciliter  la  remise  en  suspension  des  microorganismes  par agitation avant l'ensemencement dans les milieux de culture appropriés (Photo</w:t>
      </w:r>
      <w:r>
        <w:rPr>
          <w:spacing w:val="-23"/>
        </w:rPr>
        <w:t> </w:t>
      </w:r>
      <w:r>
        <w:rPr/>
        <w:t>02).</w:t>
      </w:r>
    </w:p>
    <w:p>
      <w:pPr>
        <w:pStyle w:val="BodyText"/>
        <w:spacing w:line="357" w:lineRule="auto" w:before="199"/>
        <w:ind w:left="675" w:right="1432" w:firstLine="707"/>
        <w:jc w:val="both"/>
      </w:pPr>
      <w:r>
        <w:rPr/>
        <w:t>Les prélèvements sont acheminés au laboratoire dans une  glacière  à  une  température ± 4°C afin d’effectuer des analyses bactériologiques. (Rodier,</w:t>
      </w:r>
      <w:r>
        <w:rPr>
          <w:spacing w:val="-7"/>
        </w:rPr>
        <w:t> </w:t>
      </w:r>
      <w:r>
        <w:rPr/>
        <w:t>2009).</w:t>
      </w:r>
    </w:p>
    <w:p>
      <w:pPr>
        <w:pStyle w:val="BodyText"/>
        <w:spacing w:before="3"/>
        <w:rPr>
          <w:sz w:val="13"/>
        </w:rPr>
      </w:pPr>
      <w:r>
        <w:rPr/>
        <w:pict>
          <v:group style="position:absolute;margin-left:191.871017pt;margin-top:10.114922pt;width:208.7pt;height:193.15pt;mso-position-horizontal-relative:page;mso-position-vertical-relative:paragraph;z-index:104;mso-wrap-distance-left:0;mso-wrap-distance-right:0" coordorigin="3837,202" coordsize="4174,3863">
            <v:shape style="position:absolute;left:3837;top:202;width:4174;height:3863" type="#_x0000_t75" stroked="false">
              <v:imagedata r:id="rId99" o:title=""/>
            </v:shape>
            <v:shape style="position:absolute;left:3940;top:297;width:3883;height:3583" type="#_x0000_t75" stroked="false">
              <v:imagedata r:id="rId100" o:title=""/>
            </v:shape>
            <v:rect style="position:absolute;left:3910;top:267;width:3943;height:3643" filled="false" stroked="true" strokeweight="2.997985pt" strokecolor="#000000">
              <v:stroke dashstyle="solid"/>
            </v:rect>
            <w10:wrap type="topAndBottom"/>
          </v:group>
        </w:pict>
      </w:r>
    </w:p>
    <w:p>
      <w:pPr>
        <w:pStyle w:val="BodyText"/>
      </w:pPr>
    </w:p>
    <w:p>
      <w:pPr>
        <w:pStyle w:val="BodyText"/>
        <w:spacing w:line="362" w:lineRule="auto"/>
        <w:ind w:left="4386" w:right="1797" w:hanging="3072"/>
      </w:pPr>
      <w:r>
        <w:rPr>
          <w:b/>
        </w:rPr>
        <w:t>Photo 02 : </w:t>
      </w:r>
      <w:r>
        <w:rPr/>
        <w:t>Un échantillon d’eau prélevée pour les analyses physico-chimiques et bactériologiques.</w:t>
      </w:r>
    </w:p>
    <w:p>
      <w:pPr>
        <w:spacing w:after="0" w:line="362" w:lineRule="auto"/>
        <w:sectPr>
          <w:pgSz w:w="11900" w:h="16840"/>
          <w:pgMar w:header="727" w:footer="1061" w:top="1180" w:bottom="1260" w:left="740" w:right="0"/>
        </w:sectPr>
      </w:pPr>
    </w:p>
    <w:p>
      <w:pPr>
        <w:pStyle w:val="BodyText"/>
        <w:spacing w:before="4"/>
        <w:rPr>
          <w:sz w:val="16"/>
        </w:rPr>
      </w:pPr>
    </w:p>
    <w:p>
      <w:pPr>
        <w:pStyle w:val="Heading3"/>
        <w:numPr>
          <w:ilvl w:val="1"/>
          <w:numId w:val="23"/>
        </w:numPr>
        <w:tabs>
          <w:tab w:pos="1355" w:val="left" w:leader="none"/>
        </w:tabs>
        <w:spacing w:line="240" w:lineRule="auto" w:before="88" w:after="0"/>
        <w:ind w:left="1354" w:right="0" w:hanging="679"/>
        <w:jc w:val="left"/>
      </w:pPr>
      <w:bookmarkStart w:name="_TOC_250038" w:id="43"/>
      <w:r>
        <w:rPr/>
        <w:t>Les analyses physico-chimiques</w:t>
      </w:r>
      <w:r>
        <w:rPr>
          <w:spacing w:val="1"/>
        </w:rPr>
        <w:t> </w:t>
      </w:r>
      <w:bookmarkEnd w:id="43"/>
      <w:r>
        <w:rPr/>
        <w:t>:</w:t>
      </w:r>
    </w:p>
    <w:p>
      <w:pPr>
        <w:pStyle w:val="Heading4"/>
        <w:numPr>
          <w:ilvl w:val="2"/>
          <w:numId w:val="23"/>
        </w:numPr>
        <w:tabs>
          <w:tab w:pos="1431" w:val="left" w:leader="none"/>
        </w:tabs>
        <w:spacing w:line="240" w:lineRule="auto" w:before="251" w:after="0"/>
        <w:ind w:left="1430" w:right="0" w:hanging="755"/>
        <w:jc w:val="left"/>
      </w:pPr>
      <w:bookmarkStart w:name="_TOC_250037" w:id="44"/>
      <w:r>
        <w:rPr/>
        <w:t>Mesures in situ</w:t>
      </w:r>
      <w:r>
        <w:rPr>
          <w:spacing w:val="-4"/>
        </w:rPr>
        <w:t> </w:t>
      </w:r>
      <w:bookmarkEnd w:id="44"/>
      <w:r>
        <w:rPr/>
        <w:t>:</w:t>
      </w:r>
    </w:p>
    <w:p>
      <w:pPr>
        <w:pStyle w:val="BodyText"/>
        <w:spacing w:before="10"/>
        <w:rPr>
          <w:b/>
          <w:sz w:val="28"/>
        </w:rPr>
      </w:pPr>
    </w:p>
    <w:p>
      <w:pPr>
        <w:pStyle w:val="BodyText"/>
        <w:spacing w:line="360" w:lineRule="auto"/>
        <w:ind w:left="675" w:right="1414" w:firstLine="707"/>
        <w:jc w:val="both"/>
      </w:pPr>
      <w:r>
        <w:rPr/>
        <w:t>La température, le pH, la conductivité électrique, l’oxygène dissous, la salinité et la TDS ont été mesurés in situ (sur site) à l’aide d’un appareil digital (Multi paramètre) (Photo 03). En effet, ces paramètres sont très sensibles aux conditions du milieu et sont susceptibles de varier dans des proportions importantes s’ils ne sont pas mesurés in situ. (Rodier, 2008).</w:t>
      </w:r>
    </w:p>
    <w:p>
      <w:pPr>
        <w:pStyle w:val="BodyText"/>
        <w:spacing w:before="7"/>
        <w:rPr>
          <w:sz w:val="12"/>
        </w:rPr>
      </w:pPr>
      <w:r>
        <w:rPr/>
        <w:pict>
          <v:group style="position:absolute;margin-left:162.690628pt;margin-top:9.746365pt;width:267.05pt;height:162.7pt;mso-position-horizontal-relative:page;mso-position-vertical-relative:paragraph;z-index:128;mso-wrap-distance-left:0;mso-wrap-distance-right:0" coordorigin="3254,195" coordsize="5341,3254">
            <v:shape style="position:absolute;left:3253;top:194;width:5341;height:3254" type="#_x0000_t75" stroked="false">
              <v:imagedata r:id="rId101" o:title=""/>
            </v:shape>
            <v:shape style="position:absolute;left:3355;top:294;width:5052;height:2968" type="#_x0000_t75" stroked="false">
              <v:imagedata r:id="rId102" o:title=""/>
            </v:shape>
            <v:rect style="position:absolute;left:3325;top:264;width:5112;height:3028" filled="false" stroked="true" strokeweight="2.997985pt" strokecolor="#000000">
              <v:stroke dashstyle="solid"/>
            </v:rect>
            <w10:wrap type="topAndBottom"/>
          </v:group>
        </w:pict>
      </w:r>
    </w:p>
    <w:p>
      <w:pPr>
        <w:pStyle w:val="BodyText"/>
        <w:spacing w:before="5"/>
        <w:rPr>
          <w:sz w:val="22"/>
        </w:rPr>
      </w:pPr>
    </w:p>
    <w:p>
      <w:pPr>
        <w:spacing w:before="0"/>
        <w:ind w:left="599" w:right="1338" w:firstLine="0"/>
        <w:jc w:val="center"/>
        <w:rPr>
          <w:sz w:val="24"/>
        </w:rPr>
      </w:pPr>
      <w:r>
        <w:rPr>
          <w:b/>
          <w:sz w:val="24"/>
        </w:rPr>
        <w:t>Photo 03 : </w:t>
      </w:r>
      <w:r>
        <w:rPr>
          <w:sz w:val="24"/>
        </w:rPr>
        <w:t>multi paramètre.</w:t>
      </w:r>
    </w:p>
    <w:p>
      <w:pPr>
        <w:pStyle w:val="BodyText"/>
        <w:rPr>
          <w:sz w:val="26"/>
        </w:rPr>
      </w:pPr>
    </w:p>
    <w:p>
      <w:pPr>
        <w:pStyle w:val="BodyText"/>
        <w:rPr>
          <w:sz w:val="26"/>
        </w:rPr>
      </w:pPr>
    </w:p>
    <w:p>
      <w:pPr>
        <w:pStyle w:val="Heading4"/>
        <w:numPr>
          <w:ilvl w:val="2"/>
          <w:numId w:val="23"/>
        </w:numPr>
        <w:tabs>
          <w:tab w:pos="1431" w:val="left" w:leader="none"/>
        </w:tabs>
        <w:spacing w:line="240" w:lineRule="auto" w:before="166" w:after="0"/>
        <w:ind w:left="1430" w:right="0" w:hanging="755"/>
        <w:jc w:val="left"/>
      </w:pPr>
      <w:bookmarkStart w:name="_TOC_250036" w:id="45"/>
      <w:r>
        <w:rPr/>
        <w:t>Mesure </w:t>
      </w:r>
      <w:r>
        <w:rPr>
          <w:spacing w:val="-3"/>
        </w:rPr>
        <w:t>de </w:t>
      </w:r>
      <w:r>
        <w:rPr/>
        <w:t>la turbidité</w:t>
      </w:r>
      <w:r>
        <w:rPr>
          <w:spacing w:val="13"/>
        </w:rPr>
        <w:t> </w:t>
      </w:r>
      <w:bookmarkEnd w:id="45"/>
      <w:r>
        <w:rPr/>
        <w:t>:</w:t>
      </w:r>
    </w:p>
    <w:p>
      <w:pPr>
        <w:pStyle w:val="BodyText"/>
        <w:spacing w:before="10"/>
        <w:rPr>
          <w:b/>
          <w:sz w:val="20"/>
        </w:rPr>
      </w:pPr>
    </w:p>
    <w:p>
      <w:pPr>
        <w:spacing w:before="0"/>
        <w:ind w:left="675" w:right="0" w:firstLine="0"/>
        <w:jc w:val="left"/>
        <w:rPr>
          <w:b/>
          <w:sz w:val="24"/>
        </w:rPr>
      </w:pPr>
      <w:r>
        <w:rPr>
          <w:b/>
          <w:sz w:val="24"/>
        </w:rPr>
        <w:t>Principe :</w:t>
      </w:r>
    </w:p>
    <w:p>
      <w:pPr>
        <w:pStyle w:val="BodyText"/>
        <w:spacing w:before="9"/>
        <w:rPr>
          <w:b/>
          <w:sz w:val="20"/>
        </w:rPr>
      </w:pPr>
    </w:p>
    <w:p>
      <w:pPr>
        <w:pStyle w:val="BodyText"/>
        <w:spacing w:line="276" w:lineRule="auto" w:before="1"/>
        <w:ind w:left="675" w:right="1427" w:firstLine="707"/>
        <w:jc w:val="both"/>
      </w:pPr>
      <w:r>
        <w:rPr>
          <w:spacing w:val="-4"/>
        </w:rPr>
        <w:t>La </w:t>
      </w:r>
      <w:r>
        <w:rPr/>
        <w:t>turbidité se définit comme le manque de limpidité de l'eau. Elle est causée par la matière en suspension et colloïdale (particule ionisée), de fines particules de matière organique et inorganique, le plancton et autres microorganismes. (Gauthier et </w:t>
      </w:r>
      <w:r>
        <w:rPr>
          <w:i/>
        </w:rPr>
        <w:t>al</w:t>
      </w:r>
      <w:r>
        <w:rPr/>
        <w:t>,</w:t>
      </w:r>
      <w:r>
        <w:rPr>
          <w:spacing w:val="-12"/>
        </w:rPr>
        <w:t> </w:t>
      </w:r>
      <w:r>
        <w:rPr/>
        <w:t>2003).</w:t>
      </w:r>
    </w:p>
    <w:p>
      <w:pPr>
        <w:pStyle w:val="Heading4"/>
        <w:spacing w:before="203"/>
      </w:pPr>
      <w:r>
        <w:rPr/>
        <w:t>Appareillage :</w:t>
      </w:r>
    </w:p>
    <w:p>
      <w:pPr>
        <w:pStyle w:val="BodyText"/>
        <w:spacing w:before="6"/>
        <w:rPr>
          <w:b/>
          <w:sz w:val="20"/>
        </w:rPr>
      </w:pPr>
    </w:p>
    <w:p>
      <w:pPr>
        <w:pStyle w:val="BodyText"/>
        <w:ind w:left="1382"/>
      </w:pPr>
      <w:r>
        <w:rPr>
          <w:b/>
        </w:rPr>
        <w:t>-</w:t>
      </w:r>
      <w:r>
        <w:rPr/>
        <w:t>2100 N Turbidimètre </w:t>
      </w:r>
      <w:r>
        <w:rPr>
          <w:b/>
        </w:rPr>
        <w:t>(</w:t>
      </w:r>
      <w:r>
        <w:rPr/>
        <w:t>Photo 04).</w:t>
      </w:r>
    </w:p>
    <w:p>
      <w:pPr>
        <w:spacing w:after="0"/>
        <w:sectPr>
          <w:pgSz w:w="11900" w:h="16840"/>
          <w:pgMar w:header="727" w:footer="1061" w:top="1180" w:bottom="1260" w:left="740" w:right="0"/>
        </w:sectPr>
      </w:pPr>
    </w:p>
    <w:p>
      <w:pPr>
        <w:pStyle w:val="BodyText"/>
        <w:spacing w:before="6"/>
        <w:rPr>
          <w:sz w:val="22"/>
        </w:rPr>
      </w:pPr>
    </w:p>
    <w:p>
      <w:pPr>
        <w:pStyle w:val="BodyText"/>
        <w:ind w:left="2803"/>
        <w:rPr>
          <w:sz w:val="20"/>
        </w:rPr>
      </w:pPr>
      <w:r>
        <w:rPr>
          <w:sz w:val="20"/>
        </w:rPr>
        <w:pict>
          <v:group style="width:237.85pt;height:162.9pt;mso-position-horizontal-relative:char;mso-position-vertical-relative:line" coordorigin="0,0" coordsize="4757,3258">
            <v:shape style="position:absolute;left:0;top:0;width:4757;height:3258" type="#_x0000_t75" stroked="false">
              <v:imagedata r:id="rId103" o:title=""/>
            </v:shape>
            <v:shape style="position:absolute;left:101;top:99;width:4467;height:2970" type="#_x0000_t75" stroked="false">
              <v:imagedata r:id="rId104" o:title=""/>
            </v:shape>
            <v:rect style="position:absolute;left:71;top:69;width:4527;height:3030" filled="false" stroked="true" strokeweight="2.997985pt" strokecolor="#000000">
              <v:stroke dashstyle="solid"/>
            </v:rect>
          </v:group>
        </w:pict>
      </w:r>
      <w:r>
        <w:rPr>
          <w:sz w:val="20"/>
        </w:rPr>
      </w:r>
    </w:p>
    <w:p>
      <w:pPr>
        <w:pStyle w:val="BodyText"/>
        <w:spacing w:before="5"/>
        <w:rPr>
          <w:sz w:val="6"/>
        </w:rPr>
      </w:pPr>
    </w:p>
    <w:p>
      <w:pPr>
        <w:pStyle w:val="BodyText"/>
        <w:spacing w:before="90"/>
        <w:ind w:left="2135"/>
      </w:pPr>
      <w:r>
        <w:rPr>
          <w:b/>
        </w:rPr>
        <w:t>Photo 04 : </w:t>
      </w:r>
      <w:r>
        <w:rPr/>
        <w:t>2100 N Turbidimètre. (Bentafar et Djebairia, 2016).</w:t>
      </w:r>
    </w:p>
    <w:p>
      <w:pPr>
        <w:pStyle w:val="BodyText"/>
        <w:spacing w:before="7"/>
        <w:rPr>
          <w:sz w:val="21"/>
        </w:rPr>
      </w:pPr>
    </w:p>
    <w:p>
      <w:pPr>
        <w:pStyle w:val="Heading4"/>
      </w:pPr>
      <w:r>
        <w:rPr/>
        <w:t>Mode opératoire :</w:t>
      </w:r>
    </w:p>
    <w:p>
      <w:pPr>
        <w:pStyle w:val="BodyText"/>
        <w:spacing w:before="5"/>
        <w:rPr>
          <w:b/>
          <w:sz w:val="20"/>
        </w:rPr>
      </w:pPr>
    </w:p>
    <w:p>
      <w:pPr>
        <w:pStyle w:val="BodyText"/>
        <w:spacing w:line="276" w:lineRule="auto" w:before="1"/>
        <w:ind w:left="675" w:right="1414" w:firstLine="707"/>
        <w:jc w:val="both"/>
      </w:pPr>
      <w:r>
        <w:rPr/>
        <w:t>Etalonner le turbidimètre en introduisent dans la première cuvette de l’eau distillée prise comme référence, puis remplir une cuvette de mesure propre et bien essuyer à l’aide du papier hygiénique avec l’échantillon à analyser bien homogénéisé et effectuer rapidement la mesure, Il est nécessaire de vérifier l’absence de bulle d’air avant la mesure.(Rodier, 2008).</w:t>
      </w:r>
    </w:p>
    <w:p>
      <w:pPr>
        <w:pStyle w:val="BodyText"/>
        <w:spacing w:before="1"/>
      </w:pPr>
    </w:p>
    <w:p>
      <w:pPr>
        <w:pStyle w:val="ListParagraph"/>
        <w:numPr>
          <w:ilvl w:val="2"/>
          <w:numId w:val="23"/>
        </w:numPr>
        <w:tabs>
          <w:tab w:pos="1431" w:val="left" w:leader="none"/>
        </w:tabs>
        <w:spacing w:line="240" w:lineRule="auto" w:before="1" w:after="0"/>
        <w:ind w:left="1430" w:right="0" w:hanging="755"/>
        <w:jc w:val="left"/>
        <w:rPr>
          <w:sz w:val="24"/>
        </w:rPr>
      </w:pPr>
      <w:r>
        <w:rPr>
          <w:b/>
          <w:sz w:val="24"/>
        </w:rPr>
        <w:t>Titre hydrotimétrique (TH) : </w:t>
      </w:r>
      <w:r>
        <w:rPr>
          <w:sz w:val="24"/>
        </w:rPr>
        <w:t>Méthode par complexométrie</w:t>
      </w:r>
      <w:r>
        <w:rPr>
          <w:spacing w:val="1"/>
          <w:sz w:val="24"/>
        </w:rPr>
        <w:t> </w:t>
      </w:r>
      <w:r>
        <w:rPr>
          <w:sz w:val="24"/>
        </w:rPr>
        <w:t>(EDTA).</w:t>
      </w:r>
    </w:p>
    <w:p>
      <w:pPr>
        <w:pStyle w:val="BodyText"/>
        <w:spacing w:before="5"/>
        <w:rPr>
          <w:sz w:val="28"/>
        </w:rPr>
      </w:pPr>
    </w:p>
    <w:p>
      <w:pPr>
        <w:pStyle w:val="Heading4"/>
      </w:pPr>
      <w:r>
        <w:rPr/>
        <w:t>Principe :</w:t>
      </w:r>
    </w:p>
    <w:p>
      <w:pPr>
        <w:pStyle w:val="BodyText"/>
        <w:spacing w:before="5"/>
        <w:rPr>
          <w:b/>
          <w:sz w:val="27"/>
        </w:rPr>
      </w:pPr>
    </w:p>
    <w:p>
      <w:pPr>
        <w:pStyle w:val="BodyText"/>
        <w:spacing w:line="276" w:lineRule="auto"/>
        <w:ind w:left="675" w:right="1412" w:firstLine="707"/>
        <w:jc w:val="both"/>
      </w:pPr>
      <w:r>
        <w:rPr/>
        <w:t>Titrage par complexométrie des ions calcium et magnésium avec une solution aqueuse de sel disodique d’acide éthylène-diamine tétra acétique (EDTA) à un pH de 10. L’indicateur utilisé est le noir ériochrome T, qui donne une couleur rose en présence des ions calcium et magnésium.</w:t>
      </w:r>
    </w:p>
    <w:p>
      <w:pPr>
        <w:pStyle w:val="BodyText"/>
        <w:spacing w:before="2"/>
      </w:pPr>
    </w:p>
    <w:p>
      <w:pPr>
        <w:pStyle w:val="BodyText"/>
        <w:ind w:left="675"/>
      </w:pPr>
      <w:r>
        <w:rPr/>
        <w:t>Lors du titrage avec l’EDTA la solution vire au bleu.</w:t>
      </w:r>
    </w:p>
    <w:p>
      <w:pPr>
        <w:pStyle w:val="BodyText"/>
        <w:spacing w:before="6"/>
        <w:rPr>
          <w:sz w:val="28"/>
        </w:rPr>
      </w:pPr>
    </w:p>
    <w:p>
      <w:pPr>
        <w:pStyle w:val="Heading4"/>
      </w:pPr>
      <w:r>
        <w:rPr/>
        <w:t>Réactifs :</w:t>
      </w:r>
    </w:p>
    <w:p>
      <w:pPr>
        <w:pStyle w:val="BodyText"/>
        <w:spacing w:before="5"/>
        <w:rPr>
          <w:b/>
          <w:sz w:val="27"/>
        </w:rPr>
      </w:pPr>
    </w:p>
    <w:p>
      <w:pPr>
        <w:pStyle w:val="BodyText"/>
        <w:spacing w:before="1"/>
        <w:ind w:left="675"/>
      </w:pPr>
      <w:r>
        <w:rPr/>
        <w:t>-Calcium, solution étalon de référence à 0.01 mol/l.</w:t>
      </w:r>
    </w:p>
    <w:p>
      <w:pPr>
        <w:pStyle w:val="BodyText"/>
        <w:spacing w:before="9"/>
        <w:rPr>
          <w:sz w:val="27"/>
        </w:rPr>
      </w:pPr>
    </w:p>
    <w:p>
      <w:pPr>
        <w:pStyle w:val="BodyText"/>
        <w:ind w:left="675"/>
      </w:pPr>
      <w:r>
        <w:rPr/>
        <w:t>-Solution d’EDTA (solution titrer à 0.01 mol/l).</w:t>
      </w:r>
    </w:p>
    <w:p>
      <w:pPr>
        <w:pStyle w:val="BodyText"/>
        <w:spacing w:before="1"/>
        <w:rPr>
          <w:sz w:val="28"/>
        </w:rPr>
      </w:pPr>
    </w:p>
    <w:p>
      <w:pPr>
        <w:pStyle w:val="BodyText"/>
        <w:ind w:left="675"/>
      </w:pPr>
      <w:r>
        <w:rPr/>
        <w:t>-Solution tampon pH 10.</w:t>
      </w:r>
    </w:p>
    <w:p>
      <w:pPr>
        <w:pStyle w:val="BodyText"/>
        <w:spacing w:before="9"/>
        <w:rPr>
          <w:sz w:val="27"/>
        </w:rPr>
      </w:pPr>
    </w:p>
    <w:p>
      <w:pPr>
        <w:pStyle w:val="BodyText"/>
        <w:spacing w:before="1"/>
        <w:ind w:left="675"/>
      </w:pPr>
      <w:r>
        <w:rPr/>
        <w:t>-Indicateur noir d’ériochrome T (NET).</w:t>
      </w:r>
    </w:p>
    <w:p>
      <w:pPr>
        <w:pStyle w:val="BodyText"/>
        <w:spacing w:before="2"/>
        <w:rPr>
          <w:sz w:val="28"/>
        </w:rPr>
      </w:pPr>
    </w:p>
    <w:p>
      <w:pPr>
        <w:pStyle w:val="Heading4"/>
        <w:ind w:left="735"/>
      </w:pPr>
      <w:r>
        <w:rPr/>
        <w:t>Mode d’opératoire :</w:t>
      </w:r>
    </w:p>
    <w:p>
      <w:pPr>
        <w:pStyle w:val="BodyText"/>
        <w:spacing w:before="9"/>
        <w:rPr>
          <w:b/>
          <w:sz w:val="27"/>
        </w:rPr>
      </w:pPr>
    </w:p>
    <w:p>
      <w:pPr>
        <w:pStyle w:val="BodyText"/>
        <w:spacing w:line="273" w:lineRule="auto"/>
        <w:ind w:left="675" w:right="1425" w:firstLine="707"/>
        <w:jc w:val="both"/>
      </w:pPr>
      <w:r>
        <w:rPr/>
        <w:t>Prélever une prise d’essai de 50 ml de l’échantillon, ajouter 4 ml de la solution tampon et une pincée d’indicateur NET. Bien mélanger, la solution doit se colorer en rose. Titrer</w:t>
      </w:r>
    </w:p>
    <w:p>
      <w:pPr>
        <w:spacing w:after="0" w:line="273" w:lineRule="auto"/>
        <w:jc w:val="both"/>
        <w:sectPr>
          <w:pgSz w:w="11900" w:h="16840"/>
          <w:pgMar w:header="727" w:footer="1061" w:top="1180" w:bottom="1260" w:left="740" w:right="0"/>
        </w:sectPr>
      </w:pPr>
    </w:p>
    <w:p>
      <w:pPr>
        <w:pStyle w:val="BodyText"/>
        <w:rPr>
          <w:sz w:val="16"/>
        </w:rPr>
      </w:pPr>
    </w:p>
    <w:p>
      <w:pPr>
        <w:pStyle w:val="BodyText"/>
        <w:spacing w:line="278" w:lineRule="auto" w:before="90"/>
        <w:ind w:left="675" w:right="1450"/>
      </w:pPr>
      <w:r>
        <w:rPr/>
        <w:t>immédiatement avec la solution d’EDTA, en versant lentement jusqu’au virage au bleu. (ISO 6059)</w:t>
      </w:r>
    </w:p>
    <w:p>
      <w:pPr>
        <w:pStyle w:val="BodyText"/>
        <w:spacing w:before="3"/>
      </w:pPr>
    </w:p>
    <w:p>
      <w:pPr>
        <w:pStyle w:val="Heading4"/>
      </w:pPr>
      <w:r>
        <w:rPr/>
        <w:t>Expression des résultats :</w:t>
      </w:r>
    </w:p>
    <w:p>
      <w:pPr>
        <w:pStyle w:val="BodyText"/>
        <w:spacing w:before="8"/>
        <w:rPr>
          <w:b/>
          <w:sz w:val="27"/>
        </w:rPr>
      </w:pPr>
    </w:p>
    <w:p>
      <w:pPr>
        <w:spacing w:before="0"/>
        <w:ind w:left="3506" w:right="0" w:firstLine="0"/>
        <w:jc w:val="left"/>
        <w:rPr>
          <w:b/>
          <w:sz w:val="28"/>
        </w:rPr>
      </w:pPr>
      <w:r>
        <w:rPr>
          <w:b/>
          <w:sz w:val="28"/>
        </w:rPr>
        <w:t>TH (° F) = V </w:t>
      </w:r>
      <w:r>
        <w:rPr>
          <w:b/>
          <w:sz w:val="28"/>
          <w:vertAlign w:val="subscript"/>
        </w:rPr>
        <w:t>(ml)</w:t>
      </w:r>
      <w:r>
        <w:rPr>
          <w:b/>
          <w:sz w:val="28"/>
          <w:vertAlign w:val="baseline"/>
        </w:rPr>
        <w:t> x10</w:t>
      </w:r>
    </w:p>
    <w:p>
      <w:pPr>
        <w:pStyle w:val="BodyText"/>
        <w:spacing w:before="9"/>
        <w:rPr>
          <w:b/>
          <w:sz w:val="28"/>
        </w:rPr>
      </w:pPr>
    </w:p>
    <w:p>
      <w:pPr>
        <w:pStyle w:val="ListParagraph"/>
        <w:numPr>
          <w:ilvl w:val="2"/>
          <w:numId w:val="23"/>
        </w:numPr>
        <w:tabs>
          <w:tab w:pos="1431" w:val="left" w:leader="none"/>
        </w:tabs>
        <w:spacing w:line="240" w:lineRule="auto" w:before="0" w:after="0"/>
        <w:ind w:left="1430" w:right="0" w:hanging="755"/>
        <w:jc w:val="left"/>
        <w:rPr>
          <w:b/>
          <w:sz w:val="24"/>
        </w:rPr>
      </w:pPr>
      <w:bookmarkStart w:name="_TOC_250035" w:id="46"/>
      <w:r>
        <w:rPr>
          <w:b/>
          <w:sz w:val="24"/>
        </w:rPr>
        <w:t>Titre alcalimétrique simple et complet (TA et TAC)</w:t>
      </w:r>
      <w:r>
        <w:rPr>
          <w:b/>
          <w:spacing w:val="2"/>
          <w:sz w:val="24"/>
        </w:rPr>
        <w:t> </w:t>
      </w:r>
      <w:bookmarkEnd w:id="46"/>
      <w:r>
        <w:rPr>
          <w:b/>
          <w:sz w:val="24"/>
        </w:rPr>
        <w:t>:</w:t>
      </w:r>
    </w:p>
    <w:p>
      <w:pPr>
        <w:pStyle w:val="BodyText"/>
        <w:spacing w:before="9"/>
        <w:rPr>
          <w:b/>
          <w:sz w:val="27"/>
        </w:rPr>
      </w:pPr>
    </w:p>
    <w:p>
      <w:pPr>
        <w:spacing w:before="0"/>
        <w:ind w:left="675" w:right="0" w:firstLine="0"/>
        <w:jc w:val="left"/>
        <w:rPr>
          <w:b/>
          <w:sz w:val="24"/>
        </w:rPr>
      </w:pPr>
      <w:r>
        <w:rPr>
          <w:b/>
          <w:sz w:val="24"/>
        </w:rPr>
        <w:t>Principe :</w:t>
      </w:r>
    </w:p>
    <w:p>
      <w:pPr>
        <w:pStyle w:val="BodyText"/>
        <w:spacing w:before="9"/>
        <w:rPr>
          <w:b/>
          <w:sz w:val="27"/>
        </w:rPr>
      </w:pPr>
    </w:p>
    <w:p>
      <w:pPr>
        <w:pStyle w:val="BodyText"/>
        <w:spacing w:line="276" w:lineRule="auto"/>
        <w:ind w:left="675" w:right="1450" w:firstLine="707"/>
      </w:pPr>
      <w:r>
        <w:rPr/>
        <w:t>Ces déterminations sont basées sur la neutralisation d’un certain volume d’eau par un acide minéral dilué en présence d’un indicateur coloré.</w:t>
      </w:r>
    </w:p>
    <w:p>
      <w:pPr>
        <w:pStyle w:val="BodyText"/>
        <w:spacing w:before="6"/>
      </w:pPr>
    </w:p>
    <w:p>
      <w:pPr>
        <w:pStyle w:val="Heading4"/>
      </w:pPr>
      <w:r>
        <w:rPr/>
        <w:t>Réactifs :</w:t>
      </w:r>
    </w:p>
    <w:p>
      <w:pPr>
        <w:pStyle w:val="BodyText"/>
        <w:spacing w:before="8"/>
        <w:rPr>
          <w:b/>
          <w:sz w:val="27"/>
        </w:rPr>
      </w:pPr>
    </w:p>
    <w:p>
      <w:pPr>
        <w:pStyle w:val="BodyText"/>
        <w:spacing w:before="1"/>
        <w:ind w:left="675"/>
      </w:pPr>
      <w:r>
        <w:rPr/>
        <w:t>-Acide chlorhydrique ou sulfurique N/50.</w:t>
      </w:r>
    </w:p>
    <w:p>
      <w:pPr>
        <w:pStyle w:val="BodyText"/>
        <w:spacing w:before="9"/>
        <w:rPr>
          <w:sz w:val="27"/>
        </w:rPr>
      </w:pPr>
    </w:p>
    <w:p>
      <w:pPr>
        <w:pStyle w:val="BodyText"/>
        <w:ind w:left="675"/>
      </w:pPr>
      <w:r>
        <w:rPr/>
        <w:t>-Solution de phénophtaléine dans l’alcool à 0.5 %.</w:t>
      </w:r>
    </w:p>
    <w:p>
      <w:pPr>
        <w:pStyle w:val="BodyText"/>
        <w:rPr>
          <w:sz w:val="26"/>
        </w:rPr>
      </w:pPr>
    </w:p>
    <w:p>
      <w:pPr>
        <w:pStyle w:val="BodyText"/>
        <w:rPr>
          <w:sz w:val="26"/>
        </w:rPr>
      </w:pPr>
    </w:p>
    <w:p>
      <w:pPr>
        <w:pStyle w:val="BodyText"/>
        <w:spacing w:before="4"/>
        <w:rPr>
          <w:sz w:val="28"/>
        </w:rPr>
      </w:pPr>
    </w:p>
    <w:p>
      <w:pPr>
        <w:pStyle w:val="Heading4"/>
        <w:spacing w:line="518" w:lineRule="auto"/>
        <w:ind w:left="1382" w:right="8415" w:hanging="708"/>
      </w:pPr>
      <w:r>
        <w:rPr/>
        <w:t>Mode d’opératoire : 1- TA :</w:t>
      </w:r>
    </w:p>
    <w:p>
      <w:pPr>
        <w:pStyle w:val="BodyText"/>
        <w:spacing w:line="271" w:lineRule="exact"/>
        <w:ind w:left="675"/>
      </w:pPr>
      <w:r>
        <w:rPr/>
        <w:t>-prélever 100ml d’eau à analyser dans un Erlenmeyer.</w:t>
      </w:r>
    </w:p>
    <w:p>
      <w:pPr>
        <w:pStyle w:val="BodyText"/>
        <w:spacing w:before="1"/>
        <w:rPr>
          <w:sz w:val="28"/>
        </w:rPr>
      </w:pPr>
    </w:p>
    <w:p>
      <w:pPr>
        <w:pStyle w:val="BodyText"/>
        <w:ind w:left="675"/>
      </w:pPr>
      <w:r>
        <w:rPr/>
        <w:t>-Ajouter 2 à 3 gouttes de phénophtaléine.</w:t>
      </w:r>
    </w:p>
    <w:p>
      <w:pPr>
        <w:pStyle w:val="BodyText"/>
        <w:spacing w:before="9"/>
        <w:rPr>
          <w:sz w:val="27"/>
        </w:rPr>
      </w:pPr>
    </w:p>
    <w:p>
      <w:pPr>
        <w:pStyle w:val="BodyText"/>
        <w:spacing w:line="273" w:lineRule="auto"/>
        <w:ind w:left="675" w:right="1797" w:firstLine="707"/>
      </w:pPr>
      <w:r>
        <w:rPr/>
        <w:t>*Si une coloration rose apparait, titrer avec l’H</w:t>
      </w:r>
      <w:r>
        <w:rPr>
          <w:vertAlign w:val="subscript"/>
        </w:rPr>
        <w:t>2</w:t>
      </w:r>
      <w:r>
        <w:rPr>
          <w:vertAlign w:val="baseline"/>
        </w:rPr>
        <w:t>SO</w:t>
      </w:r>
      <w:r>
        <w:rPr>
          <w:vertAlign w:val="subscript"/>
        </w:rPr>
        <w:t>4</w:t>
      </w:r>
      <w:r>
        <w:rPr>
          <w:vertAlign w:val="baseline"/>
        </w:rPr>
        <w:t> (N/50) jusqu’à disparition de couleur.</w:t>
      </w:r>
    </w:p>
    <w:p>
      <w:pPr>
        <w:pStyle w:val="BodyText"/>
        <w:rPr>
          <w:sz w:val="25"/>
        </w:rPr>
      </w:pPr>
    </w:p>
    <w:p>
      <w:pPr>
        <w:pStyle w:val="BodyText"/>
        <w:ind w:left="1382"/>
      </w:pPr>
      <w:r>
        <w:rPr/>
        <w:t>*Si la couleur n’apparait pas TA=0 (pH˂8.3).</w:t>
      </w:r>
    </w:p>
    <w:p>
      <w:pPr>
        <w:pStyle w:val="BodyText"/>
        <w:spacing w:before="1"/>
        <w:rPr>
          <w:sz w:val="28"/>
        </w:rPr>
      </w:pPr>
    </w:p>
    <w:p>
      <w:pPr>
        <w:pStyle w:val="Heading4"/>
        <w:ind w:left="1382"/>
      </w:pPr>
      <w:r>
        <w:rPr/>
        <w:t>2-TAC :</w:t>
      </w:r>
    </w:p>
    <w:p>
      <w:pPr>
        <w:pStyle w:val="BodyText"/>
        <w:spacing w:before="9"/>
        <w:rPr>
          <w:b/>
          <w:sz w:val="27"/>
        </w:rPr>
      </w:pPr>
    </w:p>
    <w:p>
      <w:pPr>
        <w:pStyle w:val="BodyText"/>
        <w:spacing w:before="1"/>
        <w:ind w:left="675"/>
      </w:pPr>
      <w:r>
        <w:rPr/>
        <w:t>-100ml d’eau à analyser.</w:t>
      </w:r>
    </w:p>
    <w:p>
      <w:pPr>
        <w:pStyle w:val="BodyText"/>
        <w:spacing w:before="9"/>
        <w:rPr>
          <w:sz w:val="27"/>
        </w:rPr>
      </w:pPr>
    </w:p>
    <w:p>
      <w:pPr>
        <w:pStyle w:val="BodyText"/>
        <w:ind w:left="675"/>
      </w:pPr>
      <w:r>
        <w:rPr/>
        <w:t>-2 à 3 gouttes de méthyle orange à 0.5 %.</w:t>
      </w:r>
    </w:p>
    <w:p>
      <w:pPr>
        <w:pStyle w:val="BodyText"/>
        <w:spacing w:before="9"/>
        <w:rPr>
          <w:sz w:val="27"/>
        </w:rPr>
      </w:pPr>
    </w:p>
    <w:p>
      <w:pPr>
        <w:pStyle w:val="BodyText"/>
        <w:ind w:left="675"/>
      </w:pPr>
      <w:r>
        <w:rPr/>
        <w:t>-Titre par l’H</w:t>
      </w:r>
      <w:r>
        <w:rPr>
          <w:vertAlign w:val="subscript"/>
        </w:rPr>
        <w:t>2</w:t>
      </w:r>
      <w:r>
        <w:rPr>
          <w:vertAlign w:val="baseline"/>
        </w:rPr>
        <w:t>SO</w:t>
      </w:r>
      <w:r>
        <w:rPr>
          <w:vertAlign w:val="subscript"/>
        </w:rPr>
        <w:t>4</w:t>
      </w:r>
      <w:r>
        <w:rPr>
          <w:vertAlign w:val="baseline"/>
        </w:rPr>
        <w:t> (N/50) jusqu’au virage rouge orange. (Rodier, 2009).</w:t>
      </w:r>
    </w:p>
    <w:p>
      <w:pPr>
        <w:spacing w:after="0"/>
        <w:sectPr>
          <w:pgSz w:w="11900" w:h="16840"/>
          <w:pgMar w:header="727" w:footer="1061" w:top="1180" w:bottom="1260" w:left="740" w:right="0"/>
        </w:sectPr>
      </w:pPr>
    </w:p>
    <w:p>
      <w:pPr>
        <w:pStyle w:val="BodyText"/>
        <w:spacing w:before="4"/>
        <w:rPr>
          <w:sz w:val="16"/>
        </w:rPr>
      </w:pPr>
    </w:p>
    <w:p>
      <w:pPr>
        <w:spacing w:after="0"/>
        <w:rPr>
          <w:sz w:val="16"/>
        </w:rPr>
        <w:sectPr>
          <w:pgSz w:w="11900" w:h="16840"/>
          <w:pgMar w:header="727" w:footer="1061" w:top="1180" w:bottom="1260" w:left="740" w:right="0"/>
        </w:sectPr>
      </w:pPr>
    </w:p>
    <w:p>
      <w:pPr>
        <w:pStyle w:val="Heading4"/>
        <w:spacing w:before="90"/>
      </w:pPr>
      <w:r>
        <w:rPr/>
        <w:t>Expression des résultats </w:t>
      </w:r>
      <w:r>
        <w:rPr>
          <w:spacing w:val="-14"/>
        </w:rPr>
        <w:t>:</w:t>
      </w:r>
    </w:p>
    <w:p>
      <w:pPr>
        <w:pStyle w:val="BodyText"/>
        <w:rPr>
          <w:b/>
          <w:sz w:val="36"/>
        </w:rPr>
      </w:pPr>
      <w:r>
        <w:rPr/>
        <w:br w:type="column"/>
      </w:r>
      <w:r>
        <w:rPr>
          <w:b/>
          <w:sz w:val="36"/>
        </w:rPr>
      </w:r>
    </w:p>
    <w:p>
      <w:pPr>
        <w:spacing w:before="237"/>
        <w:ind w:left="188" w:right="0" w:firstLine="0"/>
        <w:jc w:val="left"/>
        <w:rPr>
          <w:b/>
          <w:sz w:val="18"/>
        </w:rPr>
      </w:pPr>
      <w:r>
        <w:rPr>
          <w:b/>
          <w:sz w:val="28"/>
        </w:rPr>
        <w:t>TA (</w:t>
      </w:r>
      <w:r>
        <w:rPr>
          <w:b/>
          <w:position w:val="13"/>
          <w:sz w:val="18"/>
        </w:rPr>
        <w:t>° F</w:t>
      </w:r>
      <w:r>
        <w:rPr>
          <w:b/>
          <w:sz w:val="28"/>
        </w:rPr>
        <w:t>) = V </w:t>
      </w:r>
      <w:r>
        <w:rPr>
          <w:b/>
          <w:position w:val="-3"/>
          <w:sz w:val="18"/>
        </w:rPr>
        <w:t>titré</w:t>
      </w:r>
    </w:p>
    <w:p>
      <w:pPr>
        <w:spacing w:after="0"/>
        <w:jc w:val="left"/>
        <w:rPr>
          <w:sz w:val="18"/>
        </w:rPr>
        <w:sectPr>
          <w:type w:val="continuous"/>
          <w:pgSz w:w="11900" w:h="16840"/>
          <w:pgMar w:top="1060" w:bottom="280" w:left="740" w:right="0"/>
          <w:cols w:num="2" w:equalWidth="0">
            <w:col w:w="3279" w:space="40"/>
            <w:col w:w="7841"/>
          </w:cols>
        </w:sectPr>
      </w:pPr>
    </w:p>
    <w:p>
      <w:pPr>
        <w:pStyle w:val="BodyText"/>
        <w:spacing w:before="4"/>
        <w:rPr>
          <w:b/>
          <w:sz w:val="15"/>
        </w:rPr>
      </w:pPr>
    </w:p>
    <w:p>
      <w:pPr>
        <w:pStyle w:val="Heading3"/>
        <w:spacing w:before="131"/>
        <w:ind w:left="2798"/>
      </w:pPr>
      <w:r>
        <w:rPr/>
        <w:t>TAC (</w:t>
      </w:r>
      <w:r>
        <w:rPr>
          <w:vertAlign w:val="superscript"/>
        </w:rPr>
        <w:t>°</w:t>
      </w:r>
      <w:r>
        <w:rPr>
          <w:vertAlign w:val="baseline"/>
        </w:rPr>
        <w:t> </w:t>
      </w:r>
      <w:r>
        <w:rPr>
          <w:vertAlign w:val="superscript"/>
        </w:rPr>
        <w:t>F</w:t>
      </w:r>
      <w:r>
        <w:rPr>
          <w:vertAlign w:val="baseline"/>
        </w:rPr>
        <w:t>) = V </w:t>
      </w:r>
      <w:r>
        <w:rPr>
          <w:vertAlign w:val="subscript"/>
        </w:rPr>
        <w:t>titré</w:t>
      </w:r>
      <w:r>
        <w:rPr>
          <w:vertAlign w:val="baseline"/>
        </w:rPr>
        <w:t> – 0.5</w:t>
      </w:r>
    </w:p>
    <w:p>
      <w:pPr>
        <w:pStyle w:val="BodyText"/>
        <w:spacing w:before="8"/>
        <w:rPr>
          <w:b/>
          <w:sz w:val="28"/>
        </w:rPr>
      </w:pPr>
    </w:p>
    <w:p>
      <w:pPr>
        <w:pStyle w:val="Heading4"/>
        <w:numPr>
          <w:ilvl w:val="2"/>
          <w:numId w:val="23"/>
        </w:numPr>
        <w:tabs>
          <w:tab w:pos="1431" w:val="left" w:leader="none"/>
        </w:tabs>
        <w:spacing w:line="240" w:lineRule="auto" w:before="0" w:after="0"/>
        <w:ind w:left="1430" w:right="0" w:hanging="755"/>
        <w:jc w:val="left"/>
        <w:rPr>
          <w:sz w:val="28"/>
        </w:rPr>
      </w:pPr>
      <w:r>
        <w:rPr/>
        <w:pict>
          <v:shape style="position:absolute;margin-left:293.702545pt;margin-top:7.545115pt;width:4pt;height:8.9pt;mso-position-horizontal-relative:page;mso-position-vertical-relative:paragraph;z-index:-135328" type="#_x0000_t202" filled="false" stroked="false">
            <v:textbox inset="0,0,0,0">
              <w:txbxContent>
                <w:p>
                  <w:pPr>
                    <w:spacing w:line="177" w:lineRule="exact" w:before="0"/>
                    <w:ind w:left="0" w:right="0" w:firstLine="0"/>
                    <w:jc w:val="left"/>
                    <w:rPr>
                      <w:b/>
                      <w:sz w:val="16"/>
                    </w:rPr>
                  </w:pPr>
                  <w:r>
                    <w:rPr>
                      <w:b/>
                      <w:sz w:val="16"/>
                    </w:rPr>
                    <w:t>4</w:t>
                  </w:r>
                </w:p>
              </w:txbxContent>
            </v:textbox>
            <w10:wrap type="none"/>
          </v:shape>
        </w:pict>
      </w:r>
      <w:r>
        <w:rPr/>
        <w:t>Détermination des phosphates (PO</w:t>
      </w:r>
      <w:r>
        <w:rPr>
          <w:vertAlign w:val="superscript"/>
        </w:rPr>
        <w:t>3-</w:t>
      </w:r>
      <w:r>
        <w:rPr>
          <w:vertAlign w:val="baseline"/>
        </w:rPr>
        <w:t> </w:t>
      </w:r>
      <w:r>
        <w:rPr>
          <w:sz w:val="28"/>
          <w:vertAlign w:val="baseline"/>
        </w:rPr>
        <w:t>)</w:t>
      </w:r>
      <w:r>
        <w:rPr>
          <w:spacing w:val="23"/>
          <w:sz w:val="28"/>
          <w:vertAlign w:val="baseline"/>
        </w:rPr>
        <w:t> </w:t>
      </w:r>
      <w:r>
        <w:rPr>
          <w:sz w:val="28"/>
          <w:vertAlign w:val="baseline"/>
        </w:rPr>
        <w:t>:</w:t>
      </w:r>
    </w:p>
    <w:p>
      <w:pPr>
        <w:pStyle w:val="BodyText"/>
        <w:spacing w:before="5"/>
        <w:rPr>
          <w:b/>
          <w:sz w:val="28"/>
        </w:rPr>
      </w:pPr>
    </w:p>
    <w:p>
      <w:pPr>
        <w:spacing w:before="0"/>
        <w:ind w:left="1382" w:right="0" w:firstLine="0"/>
        <w:jc w:val="left"/>
        <w:rPr>
          <w:b/>
          <w:sz w:val="24"/>
        </w:rPr>
      </w:pPr>
      <w:r>
        <w:rPr>
          <w:b/>
          <w:sz w:val="24"/>
        </w:rPr>
        <w:t>Principe :</w:t>
      </w:r>
    </w:p>
    <w:p>
      <w:pPr>
        <w:pStyle w:val="BodyText"/>
        <w:spacing w:before="9"/>
        <w:rPr>
          <w:b/>
          <w:sz w:val="27"/>
        </w:rPr>
      </w:pPr>
    </w:p>
    <w:p>
      <w:pPr>
        <w:pStyle w:val="BodyText"/>
        <w:spacing w:line="273" w:lineRule="auto"/>
        <w:ind w:left="675" w:right="1418" w:firstLine="707"/>
        <w:jc w:val="both"/>
      </w:pPr>
      <w:r>
        <w:rPr/>
        <w:t>Formation en milieu acide d’un complexe avec le molybdate d’ammonium et le tartrate double d’antimoine et de</w:t>
      </w:r>
      <w:r>
        <w:rPr>
          <w:spacing w:val="3"/>
        </w:rPr>
        <w:t> </w:t>
      </w:r>
      <w:r>
        <w:rPr/>
        <w:t>potassium.</w:t>
      </w:r>
    </w:p>
    <w:p>
      <w:pPr>
        <w:pStyle w:val="BodyText"/>
        <w:spacing w:before="11"/>
      </w:pPr>
    </w:p>
    <w:p>
      <w:pPr>
        <w:pStyle w:val="BodyText"/>
        <w:spacing w:line="273" w:lineRule="auto"/>
        <w:ind w:left="675" w:right="1428" w:firstLine="707"/>
        <w:jc w:val="both"/>
      </w:pPr>
      <w:r>
        <w:rPr/>
        <w:t>Réduction par l’acide ascorbique en un complexe coloré en bleu qui représente deux valeurs maximales d’absorption (l’une vers 700 nm, l’autre plus  importante  à  880  nm). (ISO</w:t>
      </w:r>
      <w:r>
        <w:rPr>
          <w:spacing w:val="-3"/>
        </w:rPr>
        <w:t> </w:t>
      </w:r>
      <w:r>
        <w:rPr/>
        <w:t>6878).</w:t>
      </w:r>
    </w:p>
    <w:p>
      <w:pPr>
        <w:pStyle w:val="BodyText"/>
        <w:spacing w:before="4"/>
        <w:rPr>
          <w:sz w:val="25"/>
        </w:rPr>
      </w:pPr>
    </w:p>
    <w:p>
      <w:pPr>
        <w:pStyle w:val="Heading4"/>
      </w:pPr>
      <w:r>
        <w:rPr/>
        <w:t>Réactifs :</w:t>
      </w:r>
    </w:p>
    <w:p>
      <w:pPr>
        <w:pStyle w:val="BodyText"/>
        <w:spacing w:before="5"/>
        <w:rPr>
          <w:b/>
          <w:sz w:val="27"/>
        </w:rPr>
      </w:pPr>
    </w:p>
    <w:p>
      <w:pPr>
        <w:pStyle w:val="BodyText"/>
        <w:spacing w:before="1"/>
        <w:ind w:left="675"/>
      </w:pPr>
      <w:r>
        <w:rPr/>
        <w:t>-Réactif-mélange</w:t>
      </w:r>
    </w:p>
    <w:p>
      <w:pPr>
        <w:pStyle w:val="BodyText"/>
        <w:spacing w:before="8"/>
        <w:rPr>
          <w:sz w:val="27"/>
        </w:rPr>
      </w:pPr>
    </w:p>
    <w:p>
      <w:pPr>
        <w:pStyle w:val="BodyText"/>
        <w:spacing w:before="1"/>
        <w:ind w:left="675"/>
      </w:pPr>
      <w:r>
        <w:rPr/>
        <w:t>-Acide ascorbique</w:t>
      </w:r>
    </w:p>
    <w:p>
      <w:pPr>
        <w:pStyle w:val="BodyText"/>
        <w:spacing w:before="1"/>
        <w:rPr>
          <w:sz w:val="28"/>
        </w:rPr>
      </w:pPr>
    </w:p>
    <w:p>
      <w:pPr>
        <w:pStyle w:val="BodyText"/>
        <w:ind w:left="675"/>
      </w:pPr>
      <w:r>
        <w:rPr/>
        <w:pict>
          <v:shape style="position:absolute;margin-left:297.5pt;margin-top:5.67793pt;width:4pt;height:8.9pt;mso-position-horizontal-relative:page;mso-position-vertical-relative:paragraph;z-index:-135304" type="#_x0000_t202" filled="false" stroked="false">
            <v:textbox inset="0,0,0,0">
              <w:txbxContent>
                <w:p>
                  <w:pPr>
                    <w:spacing w:line="177" w:lineRule="exact" w:before="0"/>
                    <w:ind w:left="0" w:right="0" w:firstLine="0"/>
                    <w:jc w:val="left"/>
                    <w:rPr>
                      <w:sz w:val="16"/>
                    </w:rPr>
                  </w:pPr>
                  <w:r>
                    <w:rPr>
                      <w:sz w:val="16"/>
                    </w:rPr>
                    <w:t>4</w:t>
                  </w:r>
                </w:p>
              </w:txbxContent>
            </v:textbox>
            <w10:wrap type="none"/>
          </v:shape>
        </w:pict>
      </w:r>
      <w:r>
        <w:rPr/>
        <w:t>-solution mère d’orthophosphate à 50mg/l PO</w:t>
      </w:r>
      <w:r>
        <w:rPr>
          <w:vertAlign w:val="superscript"/>
        </w:rPr>
        <w:t>3-</w:t>
      </w:r>
      <w:r>
        <w:rPr>
          <w:vertAlign w:val="baseline"/>
        </w:rPr>
        <w:t> (Photo 05).</w:t>
      </w:r>
    </w:p>
    <w:p>
      <w:pPr>
        <w:pStyle w:val="BodyText"/>
        <w:spacing w:before="2"/>
        <w:rPr>
          <w:sz w:val="28"/>
        </w:rPr>
      </w:pPr>
    </w:p>
    <w:p>
      <w:pPr>
        <w:pStyle w:val="Heading4"/>
      </w:pPr>
      <w:r>
        <w:rPr/>
        <w:t>Mode d’opératoire :</w:t>
      </w:r>
    </w:p>
    <w:p>
      <w:pPr>
        <w:pStyle w:val="BodyText"/>
        <w:spacing w:before="6"/>
        <w:rPr>
          <w:b/>
          <w:sz w:val="27"/>
        </w:rPr>
      </w:pPr>
    </w:p>
    <w:p>
      <w:pPr>
        <w:pStyle w:val="BodyText"/>
        <w:ind w:left="675"/>
      </w:pPr>
      <w:r>
        <w:rPr/>
        <w:t>-Prendre 40 ml d’eau à analyser.</w:t>
      </w:r>
    </w:p>
    <w:p>
      <w:pPr>
        <w:pStyle w:val="BodyText"/>
        <w:spacing w:before="1"/>
        <w:rPr>
          <w:sz w:val="28"/>
        </w:rPr>
      </w:pPr>
    </w:p>
    <w:p>
      <w:pPr>
        <w:pStyle w:val="BodyText"/>
        <w:ind w:left="675"/>
      </w:pPr>
      <w:r>
        <w:rPr/>
        <w:t>-1 ml d’acide ascorbique.</w:t>
      </w:r>
    </w:p>
    <w:p>
      <w:pPr>
        <w:pStyle w:val="BodyText"/>
        <w:spacing w:before="9"/>
        <w:rPr>
          <w:sz w:val="27"/>
        </w:rPr>
      </w:pPr>
    </w:p>
    <w:p>
      <w:pPr>
        <w:pStyle w:val="BodyText"/>
        <w:ind w:left="675"/>
      </w:pPr>
      <w:r>
        <w:rPr/>
        <w:t>-Ajouter 2 ml du réactif-mélange.</w:t>
      </w:r>
    </w:p>
    <w:p>
      <w:pPr>
        <w:pStyle w:val="BodyText"/>
        <w:spacing w:before="10"/>
        <w:rPr>
          <w:sz w:val="27"/>
        </w:rPr>
      </w:pPr>
    </w:p>
    <w:p>
      <w:pPr>
        <w:pStyle w:val="BodyText"/>
        <w:ind w:left="675"/>
      </w:pPr>
      <w:r>
        <w:rPr/>
        <w:t>-attendre 10 min.</w:t>
      </w:r>
    </w:p>
    <w:p>
      <w:pPr>
        <w:pStyle w:val="BodyText"/>
        <w:spacing w:before="2"/>
        <w:rPr>
          <w:sz w:val="28"/>
        </w:rPr>
      </w:pPr>
    </w:p>
    <w:p>
      <w:pPr>
        <w:pStyle w:val="BodyText"/>
        <w:ind w:left="675"/>
      </w:pPr>
      <w:r>
        <w:rPr/>
        <w:pict>
          <v:shape style="position:absolute;margin-left:376.666779pt;margin-top:5.677929pt;width:6pt;height:8.9pt;mso-position-horizontal-relative:page;mso-position-vertical-relative:paragraph;z-index:2272" type="#_x0000_t202" filled="false" stroked="false">
            <v:textbox inset="0,0,0,0">
              <w:txbxContent>
                <w:p>
                  <w:pPr>
                    <w:spacing w:line="177" w:lineRule="exact" w:before="0"/>
                    <w:ind w:left="0" w:right="0" w:firstLine="0"/>
                    <w:jc w:val="left"/>
                    <w:rPr>
                      <w:sz w:val="16"/>
                    </w:rPr>
                  </w:pPr>
                  <w:r>
                    <w:rPr>
                      <w:sz w:val="16"/>
                    </w:rPr>
                    <w:t>4.</w:t>
                  </w:r>
                </w:p>
              </w:txbxContent>
            </v:textbox>
            <w10:wrap type="none"/>
          </v:shape>
        </w:pict>
      </w:r>
      <w:r>
        <w:rPr/>
        <w:t>L’apparition de la coloration bleue indique la présence des PO</w:t>
      </w:r>
      <w:r>
        <w:rPr>
          <w:vertAlign w:val="superscript"/>
        </w:rPr>
        <w:t>3-</w:t>
      </w:r>
    </w:p>
    <w:p>
      <w:pPr>
        <w:pStyle w:val="BodyText"/>
        <w:rPr>
          <w:sz w:val="20"/>
        </w:rPr>
      </w:pPr>
    </w:p>
    <w:p>
      <w:pPr>
        <w:pStyle w:val="BodyText"/>
        <w:spacing w:before="89"/>
        <w:ind w:left="675"/>
      </w:pPr>
      <w:r>
        <w:rPr/>
        <w:t>Longueur d’onde λ à 700 ou 880 nm.</w:t>
      </w:r>
    </w:p>
    <w:p>
      <w:pPr>
        <w:spacing w:after="0"/>
        <w:sectPr>
          <w:type w:val="continuous"/>
          <w:pgSz w:w="11900" w:h="16840"/>
          <w:pgMar w:top="1060" w:bottom="280" w:left="740" w:right="0"/>
        </w:sectPr>
      </w:pPr>
    </w:p>
    <w:p>
      <w:pPr>
        <w:pStyle w:val="BodyText"/>
        <w:spacing w:before="6"/>
        <w:rPr>
          <w:sz w:val="22"/>
        </w:rPr>
      </w:pPr>
    </w:p>
    <w:p>
      <w:pPr>
        <w:pStyle w:val="BodyText"/>
        <w:ind w:left="3179"/>
        <w:rPr>
          <w:sz w:val="20"/>
        </w:rPr>
      </w:pPr>
      <w:r>
        <w:rPr>
          <w:sz w:val="20"/>
        </w:rPr>
        <w:pict>
          <v:group style="width:199.5pt;height:158.3pt;mso-position-horizontal-relative:char;mso-position-vertical-relative:line" coordorigin="0,0" coordsize="3990,3166">
            <v:shape style="position:absolute;left:0;top:0;width:3990;height:3166" type="#_x0000_t75" stroked="false">
              <v:imagedata r:id="rId105" o:title=""/>
            </v:shape>
            <v:shape style="position:absolute;left:100;top:99;width:3703;height:2879" type="#_x0000_t75" stroked="false">
              <v:imagedata r:id="rId106" o:title=""/>
            </v:shape>
            <v:rect style="position:absolute;left:70;top:69;width:3763;height:2939" filled="false" stroked="true" strokeweight="2.997985pt" strokecolor="#000000">
              <v:stroke dashstyle="solid"/>
            </v:rect>
          </v:group>
        </w:pict>
      </w:r>
      <w:r>
        <w:rPr>
          <w:sz w:val="20"/>
        </w:rPr>
      </w:r>
    </w:p>
    <w:p>
      <w:pPr>
        <w:pStyle w:val="BodyText"/>
        <w:spacing w:before="1"/>
        <w:rPr>
          <w:sz w:val="10"/>
        </w:rPr>
      </w:pPr>
    </w:p>
    <w:p>
      <w:pPr>
        <w:pStyle w:val="BodyText"/>
        <w:spacing w:before="130"/>
        <w:ind w:left="1562"/>
      </w:pPr>
      <w:r>
        <w:rPr/>
        <w:pict>
          <v:shape style="position:absolute;margin-left:339.471771pt;margin-top:12.177932pt;width:4pt;height:8.9pt;mso-position-horizontal-relative:page;mso-position-vertical-relative:paragraph;z-index:-135232" type="#_x0000_t202" filled="false" stroked="false">
            <v:textbox inset="0,0,0,0">
              <w:txbxContent>
                <w:p>
                  <w:pPr>
                    <w:spacing w:line="177" w:lineRule="exact" w:before="0"/>
                    <w:ind w:left="0" w:right="0" w:firstLine="0"/>
                    <w:jc w:val="left"/>
                    <w:rPr>
                      <w:sz w:val="16"/>
                    </w:rPr>
                  </w:pPr>
                  <w:r>
                    <w:rPr>
                      <w:sz w:val="16"/>
                    </w:rPr>
                    <w:t>4</w:t>
                  </w:r>
                </w:p>
              </w:txbxContent>
            </v:textbox>
            <w10:wrap type="none"/>
          </v:shape>
        </w:pict>
      </w:r>
      <w:r>
        <w:rPr>
          <w:b/>
        </w:rPr>
        <w:t>Photo 05 : </w:t>
      </w:r>
      <w:r>
        <w:rPr/>
        <w:t>Détermination des phosphates PO</w:t>
      </w:r>
      <w:r>
        <w:rPr>
          <w:vertAlign w:val="superscript"/>
        </w:rPr>
        <w:t>3-</w:t>
      </w:r>
      <w:r>
        <w:rPr>
          <w:vertAlign w:val="baseline"/>
        </w:rPr>
        <w:t> . (Bentafar, Djebairia, 2016)</w:t>
      </w:r>
    </w:p>
    <w:p>
      <w:pPr>
        <w:pStyle w:val="BodyText"/>
        <w:spacing w:before="2"/>
        <w:rPr>
          <w:sz w:val="28"/>
        </w:rPr>
      </w:pPr>
    </w:p>
    <w:p>
      <w:pPr>
        <w:pStyle w:val="Heading4"/>
      </w:pPr>
      <w:r>
        <w:rPr/>
        <w:t>Expression des résultats :</w:t>
      </w:r>
    </w:p>
    <w:p>
      <w:pPr>
        <w:pStyle w:val="BodyText"/>
        <w:spacing w:before="5"/>
        <w:rPr>
          <w:b/>
          <w:sz w:val="27"/>
        </w:rPr>
      </w:pPr>
    </w:p>
    <w:p>
      <w:pPr>
        <w:pStyle w:val="BodyText"/>
        <w:spacing w:before="1"/>
        <w:ind w:left="675"/>
      </w:pPr>
      <w:r>
        <w:rPr/>
        <w:t>Le résultat est donné directement en mg/l. (ISO 6878).</w:t>
      </w:r>
    </w:p>
    <w:p>
      <w:pPr>
        <w:pStyle w:val="BodyText"/>
        <w:rPr>
          <w:sz w:val="26"/>
        </w:rPr>
      </w:pPr>
    </w:p>
    <w:p>
      <w:pPr>
        <w:pStyle w:val="BodyText"/>
        <w:rPr>
          <w:sz w:val="26"/>
        </w:rPr>
      </w:pPr>
    </w:p>
    <w:p>
      <w:pPr>
        <w:pStyle w:val="BodyText"/>
        <w:spacing w:before="3"/>
        <w:rPr>
          <w:sz w:val="28"/>
        </w:rPr>
      </w:pPr>
    </w:p>
    <w:p>
      <w:pPr>
        <w:pStyle w:val="Heading4"/>
        <w:numPr>
          <w:ilvl w:val="2"/>
          <w:numId w:val="23"/>
        </w:numPr>
        <w:tabs>
          <w:tab w:pos="1431" w:val="left" w:leader="none"/>
        </w:tabs>
        <w:spacing w:line="240" w:lineRule="auto" w:before="0" w:after="0"/>
        <w:ind w:left="1430" w:right="0" w:hanging="755"/>
        <w:jc w:val="left"/>
      </w:pPr>
      <w:bookmarkStart w:name="_TOC_250034" w:id="47"/>
      <w:r>
        <w:rPr/>
        <w:t>Dosage </w:t>
      </w:r>
      <w:r>
        <w:rPr>
          <w:spacing w:val="-3"/>
        </w:rPr>
        <w:t>de </w:t>
      </w:r>
      <w:r>
        <w:rPr/>
        <w:t>l’ammonium</w:t>
      </w:r>
      <w:r>
        <w:rPr>
          <w:spacing w:val="6"/>
        </w:rPr>
        <w:t> </w:t>
      </w:r>
      <w:bookmarkEnd w:id="47"/>
      <w:r>
        <w:rPr/>
        <w:t>:</w:t>
      </w:r>
    </w:p>
    <w:p>
      <w:pPr>
        <w:pStyle w:val="BodyText"/>
        <w:spacing w:before="9"/>
        <w:rPr>
          <w:b/>
          <w:sz w:val="27"/>
        </w:rPr>
      </w:pPr>
    </w:p>
    <w:p>
      <w:pPr>
        <w:spacing w:before="0"/>
        <w:ind w:left="675" w:right="0" w:firstLine="0"/>
        <w:jc w:val="left"/>
        <w:rPr>
          <w:b/>
          <w:sz w:val="24"/>
        </w:rPr>
      </w:pPr>
      <w:r>
        <w:rPr>
          <w:b/>
          <w:sz w:val="24"/>
        </w:rPr>
        <w:t>Principe :</w:t>
      </w:r>
    </w:p>
    <w:p>
      <w:pPr>
        <w:pStyle w:val="BodyText"/>
        <w:spacing w:before="9"/>
        <w:rPr>
          <w:b/>
          <w:sz w:val="27"/>
        </w:rPr>
      </w:pPr>
    </w:p>
    <w:p>
      <w:pPr>
        <w:pStyle w:val="BodyText"/>
        <w:spacing w:line="276" w:lineRule="auto" w:before="1"/>
        <w:ind w:left="675" w:right="1409" w:firstLine="707"/>
        <w:jc w:val="both"/>
      </w:pPr>
      <w:r>
        <w:rPr/>
        <w:t>L’ion ammonium (NH4+) est la forme réduite de l’azote. Il provient principalement de la décomposition des protéines naturelles contenues dans le phytoplancton et les micro- organismes. Il peut être aussi issu de l’apport d’effluents urbains épurés, de rejets industriels ou agricoles. Il se trouve dans les eaux naturelles à des concentrations qui peuvent varier de 0,1 à plus de 10 mg/l. (Anonyme, 2006).</w:t>
      </w:r>
    </w:p>
    <w:p>
      <w:pPr>
        <w:pStyle w:val="BodyText"/>
        <w:spacing w:before="8"/>
      </w:pPr>
    </w:p>
    <w:p>
      <w:pPr>
        <w:pStyle w:val="Heading4"/>
      </w:pPr>
      <w:r>
        <w:rPr/>
        <w:t>Réactifs :</w:t>
      </w:r>
    </w:p>
    <w:p>
      <w:pPr>
        <w:pStyle w:val="BodyText"/>
        <w:spacing w:before="5"/>
        <w:rPr>
          <w:b/>
          <w:sz w:val="27"/>
        </w:rPr>
      </w:pPr>
    </w:p>
    <w:p>
      <w:pPr>
        <w:pStyle w:val="BodyText"/>
        <w:ind w:left="675"/>
      </w:pPr>
      <w:r>
        <w:rPr/>
        <w:t>-Eau exempte d’ammonium.</w:t>
      </w:r>
    </w:p>
    <w:p>
      <w:pPr>
        <w:pStyle w:val="BodyText"/>
        <w:spacing w:before="10"/>
        <w:rPr>
          <w:sz w:val="27"/>
        </w:rPr>
      </w:pPr>
    </w:p>
    <w:p>
      <w:pPr>
        <w:pStyle w:val="BodyText"/>
        <w:ind w:left="675"/>
      </w:pPr>
      <w:r>
        <w:rPr/>
        <w:t>-Réactif coloré (Réactif 1).</w:t>
      </w:r>
    </w:p>
    <w:p>
      <w:pPr>
        <w:pStyle w:val="BodyText"/>
        <w:spacing w:before="1"/>
        <w:rPr>
          <w:sz w:val="28"/>
        </w:rPr>
      </w:pPr>
    </w:p>
    <w:p>
      <w:pPr>
        <w:pStyle w:val="BodyText"/>
        <w:ind w:left="675"/>
      </w:pPr>
      <w:r>
        <w:rPr/>
        <w:t>-Dichloroisocyanurate de sodium (Réactif 2).</w:t>
      </w:r>
    </w:p>
    <w:p>
      <w:pPr>
        <w:pStyle w:val="BodyText"/>
        <w:spacing w:before="9"/>
        <w:rPr>
          <w:sz w:val="27"/>
        </w:rPr>
      </w:pPr>
    </w:p>
    <w:p>
      <w:pPr>
        <w:pStyle w:val="BodyText"/>
        <w:spacing w:before="1"/>
        <w:ind w:left="675"/>
      </w:pPr>
      <w:r>
        <w:rPr/>
        <w:t>-Solutions étalons : le sulfate d’ammonium.</w:t>
      </w:r>
    </w:p>
    <w:p>
      <w:pPr>
        <w:pStyle w:val="BodyText"/>
        <w:spacing w:before="2"/>
        <w:rPr>
          <w:sz w:val="28"/>
        </w:rPr>
      </w:pPr>
    </w:p>
    <w:p>
      <w:pPr>
        <w:pStyle w:val="Heading4"/>
      </w:pPr>
      <w:r>
        <w:rPr/>
        <w:t>Préparation de l’échantillon :</w:t>
      </w:r>
    </w:p>
    <w:p>
      <w:pPr>
        <w:pStyle w:val="BodyText"/>
        <w:spacing w:before="9"/>
        <w:rPr>
          <w:b/>
          <w:sz w:val="27"/>
        </w:rPr>
      </w:pPr>
    </w:p>
    <w:p>
      <w:pPr>
        <w:pStyle w:val="BodyText"/>
        <w:spacing w:line="273" w:lineRule="auto"/>
        <w:ind w:left="675" w:right="1427" w:firstLine="707"/>
        <w:jc w:val="both"/>
      </w:pPr>
      <w:r>
        <w:rPr/>
        <w:t>Prendre 40 ml d’échantillon dans une fiole de50 ml, ajouter 4 ml (réactif 1), puis ajouter 4ml de la solution de réactif 2, compléter la fiole jusqu’à la jauge, attendre 1h30min.</w:t>
      </w:r>
    </w:p>
    <w:p>
      <w:pPr>
        <w:spacing w:after="0" w:line="273" w:lineRule="auto"/>
        <w:jc w:val="both"/>
        <w:sectPr>
          <w:pgSz w:w="11900" w:h="16840"/>
          <w:pgMar w:header="727" w:footer="1061" w:top="1180" w:bottom="1260" w:left="740" w:right="0"/>
        </w:sectPr>
      </w:pPr>
    </w:p>
    <w:p>
      <w:pPr>
        <w:pStyle w:val="BodyText"/>
        <w:rPr>
          <w:sz w:val="16"/>
        </w:rPr>
      </w:pPr>
    </w:p>
    <w:p>
      <w:pPr>
        <w:pStyle w:val="BodyText"/>
        <w:spacing w:line="278" w:lineRule="auto" w:before="90"/>
        <w:ind w:left="675" w:right="1408" w:firstLine="707"/>
      </w:pPr>
      <w:r>
        <w:rPr/>
        <w:t>L’apparition de la couleur vert indique la présence de l’ammonium, effectuer la lecture à 655nm.</w:t>
      </w:r>
    </w:p>
    <w:p>
      <w:pPr>
        <w:pStyle w:val="BodyText"/>
        <w:spacing w:before="3"/>
      </w:pPr>
    </w:p>
    <w:p>
      <w:pPr>
        <w:pStyle w:val="Heading4"/>
      </w:pPr>
      <w:r>
        <w:rPr/>
        <w:t>Expression des résultats :</w:t>
      </w:r>
    </w:p>
    <w:p>
      <w:pPr>
        <w:pStyle w:val="BodyText"/>
        <w:spacing w:before="5"/>
        <w:rPr>
          <w:b/>
          <w:sz w:val="27"/>
        </w:rPr>
      </w:pPr>
    </w:p>
    <w:p>
      <w:pPr>
        <w:pStyle w:val="BodyText"/>
        <w:spacing w:before="1"/>
        <w:ind w:left="675"/>
      </w:pPr>
      <w:r>
        <w:rPr/>
        <w:t>Le résultat est donné directement en mg/l.</w:t>
      </w:r>
    </w:p>
    <w:p>
      <w:pPr>
        <w:pStyle w:val="BodyText"/>
        <w:spacing w:before="1"/>
        <w:rPr>
          <w:sz w:val="28"/>
        </w:rPr>
      </w:pPr>
    </w:p>
    <w:p>
      <w:pPr>
        <w:pStyle w:val="Heading4"/>
        <w:numPr>
          <w:ilvl w:val="2"/>
          <w:numId w:val="23"/>
        </w:numPr>
        <w:tabs>
          <w:tab w:pos="1431" w:val="left" w:leader="none"/>
        </w:tabs>
        <w:spacing w:line="240" w:lineRule="auto" w:before="0" w:after="0"/>
        <w:ind w:left="1430" w:right="0" w:hanging="755"/>
        <w:jc w:val="left"/>
        <w:rPr>
          <w:b w:val="0"/>
        </w:rPr>
      </w:pPr>
      <w:r>
        <w:rPr/>
        <w:pict>
          <v:shape style="position:absolute;margin-left:232.323822pt;margin-top:5.677912pt;width:4pt;height:8.9pt;mso-position-horizontal-relative:page;mso-position-vertical-relative:paragraph;z-index:-135208" type="#_x0000_t202" filled="false" stroked="false">
            <v:textbox inset="0,0,0,0">
              <w:txbxContent>
                <w:p>
                  <w:pPr>
                    <w:spacing w:line="177" w:lineRule="exact" w:before="0"/>
                    <w:ind w:left="0" w:right="0" w:firstLine="0"/>
                    <w:jc w:val="left"/>
                    <w:rPr>
                      <w:b/>
                      <w:sz w:val="16"/>
                    </w:rPr>
                  </w:pPr>
                  <w:r>
                    <w:rPr>
                      <w:b/>
                      <w:sz w:val="16"/>
                    </w:rPr>
                    <w:t>3</w:t>
                  </w:r>
                </w:p>
              </w:txbxContent>
            </v:textbox>
            <w10:wrap type="none"/>
          </v:shape>
        </w:pict>
      </w:r>
      <w:r>
        <w:rPr/>
        <w:t>Dosage des nitrates (NO </w:t>
      </w:r>
      <w:r>
        <w:rPr>
          <w:vertAlign w:val="superscript"/>
        </w:rPr>
        <w:t>-</w:t>
      </w:r>
      <w:r>
        <w:rPr>
          <w:b w:val="0"/>
          <w:vertAlign w:val="baseline"/>
        </w:rPr>
        <w:t>)</w:t>
      </w:r>
      <w:r>
        <w:rPr>
          <w:b w:val="0"/>
          <w:spacing w:val="-32"/>
          <w:vertAlign w:val="baseline"/>
        </w:rPr>
        <w:t> </w:t>
      </w:r>
      <w:r>
        <w:rPr>
          <w:b w:val="0"/>
          <w:vertAlign w:val="baseline"/>
        </w:rPr>
        <w:t>:</w:t>
      </w:r>
    </w:p>
    <w:p>
      <w:pPr>
        <w:pStyle w:val="BodyText"/>
        <w:spacing w:before="2"/>
        <w:rPr>
          <w:sz w:val="28"/>
        </w:rPr>
      </w:pPr>
    </w:p>
    <w:p>
      <w:pPr>
        <w:spacing w:before="0"/>
        <w:ind w:left="675" w:right="0" w:firstLine="0"/>
        <w:jc w:val="left"/>
        <w:rPr>
          <w:b/>
          <w:sz w:val="24"/>
        </w:rPr>
      </w:pPr>
      <w:r>
        <w:rPr>
          <w:b/>
          <w:sz w:val="24"/>
        </w:rPr>
        <w:t>Principe :</w:t>
      </w:r>
    </w:p>
    <w:p>
      <w:pPr>
        <w:pStyle w:val="BodyText"/>
        <w:spacing w:before="5"/>
        <w:rPr>
          <w:b/>
          <w:sz w:val="27"/>
        </w:rPr>
      </w:pPr>
    </w:p>
    <w:p>
      <w:pPr>
        <w:pStyle w:val="BodyText"/>
        <w:spacing w:line="278" w:lineRule="auto"/>
        <w:ind w:left="675" w:right="1797" w:firstLine="707"/>
      </w:pPr>
      <w:r>
        <w:rPr/>
        <w:t>En présence de salicylate de sodium, les nitrate donnent du paranitrosonylate de sodium coloré en jaune et susceptible d’un dosage colorimétrique.</w:t>
      </w:r>
    </w:p>
    <w:p>
      <w:pPr>
        <w:pStyle w:val="BodyText"/>
        <w:spacing w:before="3"/>
      </w:pPr>
    </w:p>
    <w:p>
      <w:pPr>
        <w:pStyle w:val="Heading4"/>
        <w:spacing w:before="1"/>
      </w:pPr>
      <w:r>
        <w:rPr/>
        <w:t>Réactifs :</w:t>
      </w:r>
    </w:p>
    <w:p>
      <w:pPr>
        <w:pStyle w:val="BodyText"/>
        <w:spacing w:before="9"/>
        <w:rPr>
          <w:b/>
          <w:sz w:val="27"/>
        </w:rPr>
      </w:pPr>
    </w:p>
    <w:p>
      <w:pPr>
        <w:pStyle w:val="BodyText"/>
        <w:ind w:left="675"/>
      </w:pPr>
      <w:r>
        <w:rPr>
          <w:b/>
        </w:rPr>
        <w:t>-</w:t>
      </w:r>
      <w:r>
        <w:rPr/>
        <w:t>Solution de salicylate de sodium à 0.5 % (renouveler toutes les 24 h.).</w:t>
      </w:r>
    </w:p>
    <w:p>
      <w:pPr>
        <w:pStyle w:val="BodyText"/>
        <w:spacing w:before="9"/>
        <w:rPr>
          <w:sz w:val="27"/>
        </w:rPr>
      </w:pPr>
    </w:p>
    <w:p>
      <w:pPr>
        <w:pStyle w:val="BodyText"/>
        <w:ind w:left="1382"/>
      </w:pPr>
      <w:r>
        <w:rPr/>
        <w:t>0.5 gr de salicylate de sodium dans 100 ml d’eau distillée.</w:t>
      </w:r>
    </w:p>
    <w:p>
      <w:pPr>
        <w:pStyle w:val="BodyText"/>
        <w:spacing w:before="9"/>
        <w:rPr>
          <w:sz w:val="27"/>
        </w:rPr>
      </w:pPr>
    </w:p>
    <w:p>
      <w:pPr>
        <w:pStyle w:val="BodyText"/>
        <w:spacing w:before="1"/>
        <w:ind w:left="675"/>
      </w:pPr>
      <w:r>
        <w:rPr/>
        <w:t>-Solution d’hydroxyde de sodium 30 %.</w:t>
      </w:r>
    </w:p>
    <w:p>
      <w:pPr>
        <w:pStyle w:val="BodyText"/>
        <w:spacing w:before="1"/>
        <w:rPr>
          <w:sz w:val="28"/>
        </w:rPr>
      </w:pPr>
    </w:p>
    <w:p>
      <w:pPr>
        <w:pStyle w:val="BodyText"/>
        <w:ind w:left="1382"/>
      </w:pPr>
      <w:r>
        <w:rPr/>
        <w:t>30 gr de NaOH dans 100 ml d’eau distillée.</w:t>
      </w:r>
    </w:p>
    <w:p>
      <w:pPr>
        <w:pStyle w:val="BodyText"/>
        <w:spacing w:before="9"/>
        <w:rPr>
          <w:sz w:val="27"/>
        </w:rPr>
      </w:pPr>
    </w:p>
    <w:p>
      <w:pPr>
        <w:pStyle w:val="BodyText"/>
        <w:ind w:left="675"/>
      </w:pPr>
      <w:r>
        <w:rPr/>
        <w:t>-H</w:t>
      </w:r>
      <w:r>
        <w:rPr>
          <w:vertAlign w:val="subscript"/>
        </w:rPr>
        <w:t>2</w:t>
      </w:r>
      <w:r>
        <w:rPr>
          <w:vertAlign w:val="baseline"/>
        </w:rPr>
        <w:t>SO</w:t>
      </w:r>
      <w:r>
        <w:rPr>
          <w:vertAlign w:val="subscript"/>
        </w:rPr>
        <w:t>4</w:t>
      </w:r>
      <w:r>
        <w:rPr>
          <w:vertAlign w:val="baseline"/>
        </w:rPr>
        <w:t> concentré.</w:t>
      </w:r>
    </w:p>
    <w:p>
      <w:pPr>
        <w:pStyle w:val="BodyText"/>
        <w:spacing w:before="10"/>
        <w:rPr>
          <w:sz w:val="27"/>
        </w:rPr>
      </w:pPr>
    </w:p>
    <w:p>
      <w:pPr>
        <w:pStyle w:val="BodyText"/>
        <w:ind w:left="675"/>
      </w:pPr>
      <w:r>
        <w:rPr/>
        <w:t>-Tartrate double de sodium et de potassium.</w:t>
      </w:r>
    </w:p>
    <w:p>
      <w:pPr>
        <w:pStyle w:val="BodyText"/>
        <w:spacing w:before="6"/>
        <w:rPr>
          <w:sz w:val="28"/>
        </w:rPr>
      </w:pPr>
    </w:p>
    <w:p>
      <w:pPr>
        <w:pStyle w:val="Heading4"/>
      </w:pPr>
      <w:r>
        <w:rPr/>
        <w:t>Mode d’opératoire :</w:t>
      </w:r>
    </w:p>
    <w:p>
      <w:pPr>
        <w:pStyle w:val="BodyText"/>
        <w:spacing w:before="5"/>
        <w:rPr>
          <w:b/>
          <w:sz w:val="27"/>
        </w:rPr>
      </w:pPr>
    </w:p>
    <w:p>
      <w:pPr>
        <w:pStyle w:val="BodyText"/>
        <w:ind w:left="675"/>
      </w:pPr>
      <w:r>
        <w:rPr/>
        <w:t>-Prendre 10 ml de l’échantillon à analyser.</w:t>
      </w:r>
    </w:p>
    <w:p>
      <w:pPr>
        <w:pStyle w:val="BodyText"/>
        <w:spacing w:before="9"/>
        <w:rPr>
          <w:sz w:val="27"/>
        </w:rPr>
      </w:pPr>
    </w:p>
    <w:p>
      <w:pPr>
        <w:pStyle w:val="BodyText"/>
        <w:ind w:left="675"/>
      </w:pPr>
      <w:r>
        <w:rPr/>
        <w:t>-Ajouter 2 à 3 goutes de NaOH à 30 %.</w:t>
      </w:r>
    </w:p>
    <w:p>
      <w:pPr>
        <w:pStyle w:val="BodyText"/>
        <w:spacing w:before="2"/>
        <w:rPr>
          <w:sz w:val="28"/>
        </w:rPr>
      </w:pPr>
    </w:p>
    <w:p>
      <w:pPr>
        <w:pStyle w:val="BodyText"/>
        <w:ind w:left="735"/>
      </w:pPr>
      <w:r>
        <w:rPr/>
        <w:t>-Ajouter 1 ml de salicylate de sodium.</w:t>
      </w:r>
    </w:p>
    <w:p>
      <w:pPr>
        <w:pStyle w:val="BodyText"/>
        <w:spacing w:before="9"/>
        <w:rPr>
          <w:sz w:val="27"/>
        </w:rPr>
      </w:pPr>
    </w:p>
    <w:p>
      <w:pPr>
        <w:pStyle w:val="BodyText"/>
        <w:ind w:left="675"/>
      </w:pPr>
      <w:r>
        <w:rPr/>
        <w:t>-Evaporer à sec au bain marie ou à l’étuve 75 - 88° C.</w:t>
      </w:r>
    </w:p>
    <w:p>
      <w:pPr>
        <w:pStyle w:val="BodyText"/>
        <w:spacing w:before="9"/>
        <w:rPr>
          <w:sz w:val="27"/>
        </w:rPr>
      </w:pPr>
    </w:p>
    <w:p>
      <w:pPr>
        <w:pStyle w:val="BodyText"/>
        <w:ind w:left="735"/>
      </w:pPr>
      <w:r>
        <w:rPr/>
        <w:t>(Ne pas surcharger, ni surchauffer très longtemps) laisser refroidir.</w:t>
      </w:r>
    </w:p>
    <w:p>
      <w:pPr>
        <w:pStyle w:val="BodyText"/>
        <w:spacing w:before="2"/>
        <w:rPr>
          <w:sz w:val="28"/>
        </w:rPr>
      </w:pPr>
    </w:p>
    <w:p>
      <w:pPr>
        <w:pStyle w:val="BodyText"/>
        <w:spacing w:before="1"/>
        <w:ind w:left="675"/>
      </w:pPr>
      <w:r>
        <w:rPr/>
        <w:t>-Reprendre le résidu avec 2 ml H</w:t>
      </w:r>
      <w:r>
        <w:rPr>
          <w:vertAlign w:val="subscript"/>
        </w:rPr>
        <w:t>2</w:t>
      </w:r>
      <w:r>
        <w:rPr>
          <w:vertAlign w:val="baseline"/>
        </w:rPr>
        <w:t>SO</w:t>
      </w:r>
      <w:r>
        <w:rPr>
          <w:vertAlign w:val="subscript"/>
        </w:rPr>
        <w:t>4</w:t>
      </w:r>
      <w:r>
        <w:rPr>
          <w:vertAlign w:val="baseline"/>
        </w:rPr>
        <w:t> laisser reposé 10 min.</w:t>
      </w:r>
    </w:p>
    <w:p>
      <w:pPr>
        <w:pStyle w:val="BodyText"/>
        <w:spacing w:before="9"/>
        <w:rPr>
          <w:sz w:val="27"/>
        </w:rPr>
      </w:pPr>
    </w:p>
    <w:p>
      <w:pPr>
        <w:pStyle w:val="BodyText"/>
        <w:ind w:left="675"/>
      </w:pPr>
      <w:r>
        <w:rPr/>
        <w:t>-Ajouter 15 ml d’eau distillée.</w:t>
      </w:r>
    </w:p>
    <w:p>
      <w:pPr>
        <w:pStyle w:val="BodyText"/>
        <w:spacing w:before="9"/>
        <w:rPr>
          <w:sz w:val="27"/>
        </w:rPr>
      </w:pPr>
    </w:p>
    <w:p>
      <w:pPr>
        <w:pStyle w:val="BodyText"/>
        <w:ind w:left="675"/>
      </w:pPr>
      <w:r>
        <w:rPr/>
        <w:t>-Ajouter 15 ml de tartrate double de sodium et de potassium.</w:t>
      </w:r>
    </w:p>
    <w:p>
      <w:pPr>
        <w:spacing w:after="0"/>
        <w:sectPr>
          <w:pgSz w:w="11900" w:h="16840"/>
          <w:pgMar w:header="727" w:footer="1061" w:top="1180" w:bottom="1260" w:left="740" w:right="0"/>
        </w:sectPr>
      </w:pPr>
    </w:p>
    <w:p>
      <w:pPr>
        <w:pStyle w:val="BodyText"/>
        <w:spacing w:before="4"/>
        <w:rPr>
          <w:sz w:val="16"/>
        </w:rPr>
      </w:pPr>
    </w:p>
    <w:p>
      <w:pPr>
        <w:pStyle w:val="Heading4"/>
        <w:spacing w:before="90"/>
      </w:pPr>
      <w:r>
        <w:rPr/>
        <w:t>Expression des résultats :</w:t>
      </w:r>
    </w:p>
    <w:p>
      <w:pPr>
        <w:pStyle w:val="BodyText"/>
        <w:spacing w:before="9"/>
        <w:rPr>
          <w:b/>
          <w:sz w:val="27"/>
        </w:rPr>
      </w:pPr>
    </w:p>
    <w:p>
      <w:pPr>
        <w:pStyle w:val="BodyText"/>
        <w:spacing w:line="273" w:lineRule="auto"/>
        <w:ind w:left="675" w:right="1797"/>
      </w:pPr>
      <w:r>
        <w:rPr>
          <w:spacing w:val="-4"/>
        </w:rPr>
        <w:t>Le </w:t>
      </w:r>
      <w:r>
        <w:rPr/>
        <w:t>résultat est donné directement en mg/l à une longueur d’onde </w:t>
      </w:r>
      <w:r>
        <w:rPr>
          <w:spacing w:val="-3"/>
        </w:rPr>
        <w:t>de </w:t>
      </w:r>
      <w:r>
        <w:rPr/>
        <w:t>415 nm. (Anonyme, 1984).</w:t>
      </w:r>
    </w:p>
    <w:p>
      <w:pPr>
        <w:pStyle w:val="BodyText"/>
        <w:spacing w:before="10"/>
      </w:pPr>
    </w:p>
    <w:p>
      <w:pPr>
        <w:pStyle w:val="Heading4"/>
        <w:numPr>
          <w:ilvl w:val="2"/>
          <w:numId w:val="23"/>
        </w:numPr>
        <w:tabs>
          <w:tab w:pos="1431" w:val="left" w:leader="none"/>
        </w:tabs>
        <w:spacing w:line="240" w:lineRule="auto" w:before="1" w:after="0"/>
        <w:ind w:left="1430" w:right="0" w:hanging="755"/>
        <w:jc w:val="left"/>
      </w:pPr>
      <w:bookmarkStart w:name="_TOC_250033" w:id="48"/>
      <w:r>
        <w:rPr/>
        <w:t>Dosages des nitrites</w:t>
      </w:r>
      <w:r>
        <w:rPr>
          <w:spacing w:val="-3"/>
        </w:rPr>
        <w:t> </w:t>
      </w:r>
      <w:bookmarkEnd w:id="48"/>
      <w:r>
        <w:rPr/>
        <w:t>:</w:t>
      </w:r>
    </w:p>
    <w:p>
      <w:pPr>
        <w:pStyle w:val="BodyText"/>
        <w:spacing w:before="1"/>
        <w:rPr>
          <w:b/>
          <w:sz w:val="28"/>
        </w:rPr>
      </w:pPr>
    </w:p>
    <w:p>
      <w:pPr>
        <w:spacing w:before="0"/>
        <w:ind w:left="675" w:right="0" w:firstLine="0"/>
        <w:jc w:val="left"/>
        <w:rPr>
          <w:b/>
          <w:sz w:val="24"/>
        </w:rPr>
      </w:pPr>
      <w:r>
        <w:rPr>
          <w:b/>
          <w:sz w:val="24"/>
        </w:rPr>
        <w:t>Principe :</w:t>
      </w:r>
    </w:p>
    <w:p>
      <w:pPr>
        <w:pStyle w:val="BodyText"/>
        <w:spacing w:before="5"/>
        <w:rPr>
          <w:b/>
          <w:sz w:val="27"/>
        </w:rPr>
      </w:pPr>
    </w:p>
    <w:p>
      <w:pPr>
        <w:pStyle w:val="BodyText"/>
        <w:spacing w:line="276" w:lineRule="auto"/>
        <w:ind w:left="675" w:right="1421" w:firstLine="707"/>
        <w:jc w:val="both"/>
      </w:pPr>
      <w:r>
        <w:rPr/>
        <w:t>La diazotation de l’amino-4-benzènesulfonamide par les nitrites en milieu acide et sa copulation avec le dichlorure de N-(naphtyl-1) diamino-1,2 éthane donne un complexe coloré pourpre susceptible d’un dosage spectrométrique. (Rodier, 2009).</w:t>
      </w:r>
    </w:p>
    <w:p>
      <w:pPr>
        <w:pStyle w:val="BodyText"/>
        <w:spacing w:before="8"/>
      </w:pPr>
    </w:p>
    <w:p>
      <w:pPr>
        <w:pStyle w:val="Heading4"/>
      </w:pPr>
      <w:r>
        <w:rPr/>
        <w:t>Réactifs :</w:t>
      </w:r>
    </w:p>
    <w:p>
      <w:pPr>
        <w:pStyle w:val="BodyText"/>
        <w:spacing w:before="9"/>
        <w:rPr>
          <w:b/>
          <w:sz w:val="27"/>
        </w:rPr>
      </w:pPr>
    </w:p>
    <w:p>
      <w:pPr>
        <w:pStyle w:val="BodyText"/>
        <w:ind w:left="675"/>
      </w:pPr>
      <w:r>
        <w:rPr/>
        <w:t>-Solution de réactif.</w:t>
      </w:r>
    </w:p>
    <w:p>
      <w:pPr>
        <w:pStyle w:val="BodyText"/>
        <w:spacing w:before="9"/>
        <w:rPr>
          <w:sz w:val="27"/>
        </w:rPr>
      </w:pPr>
    </w:p>
    <w:p>
      <w:pPr>
        <w:pStyle w:val="BodyText"/>
        <w:ind w:left="675"/>
      </w:pPr>
      <w:r>
        <w:rPr/>
        <w:t>-Solution d’acide phosphorique.</w:t>
      </w:r>
    </w:p>
    <w:p>
      <w:pPr>
        <w:pStyle w:val="BodyText"/>
        <w:spacing w:before="10"/>
        <w:rPr>
          <w:sz w:val="27"/>
        </w:rPr>
      </w:pPr>
    </w:p>
    <w:p>
      <w:pPr>
        <w:pStyle w:val="BodyText"/>
        <w:ind w:left="675"/>
      </w:pPr>
      <w:r>
        <w:rPr/>
        <w:t>-Solution standard de 100 mg/l.</w:t>
      </w:r>
    </w:p>
    <w:p>
      <w:pPr>
        <w:pStyle w:val="BodyText"/>
        <w:spacing w:before="5"/>
        <w:rPr>
          <w:sz w:val="28"/>
        </w:rPr>
      </w:pPr>
    </w:p>
    <w:p>
      <w:pPr>
        <w:pStyle w:val="Heading4"/>
        <w:spacing w:before="1"/>
      </w:pPr>
      <w:r>
        <w:rPr/>
        <w:t>Mode d’opératoire :</w:t>
      </w:r>
    </w:p>
    <w:p>
      <w:pPr>
        <w:pStyle w:val="BodyText"/>
        <w:spacing w:before="4"/>
        <w:rPr>
          <w:b/>
          <w:sz w:val="27"/>
        </w:rPr>
      </w:pPr>
    </w:p>
    <w:p>
      <w:pPr>
        <w:pStyle w:val="BodyText"/>
        <w:spacing w:before="1"/>
        <w:ind w:left="675"/>
      </w:pPr>
      <w:r>
        <w:rPr/>
        <w:t>-Prendre 50 ml d’eau à analyser.</w:t>
      </w:r>
    </w:p>
    <w:p>
      <w:pPr>
        <w:pStyle w:val="BodyText"/>
        <w:spacing w:before="9"/>
        <w:rPr>
          <w:sz w:val="27"/>
        </w:rPr>
      </w:pPr>
    </w:p>
    <w:p>
      <w:pPr>
        <w:pStyle w:val="BodyText"/>
        <w:ind w:left="675"/>
      </w:pPr>
      <w:r>
        <w:rPr/>
        <w:t>-Ajouter 1 ml du réactif mixte.</w:t>
      </w:r>
    </w:p>
    <w:p>
      <w:pPr>
        <w:pStyle w:val="BodyText"/>
        <w:spacing w:before="2"/>
        <w:rPr>
          <w:sz w:val="28"/>
        </w:rPr>
      </w:pPr>
    </w:p>
    <w:p>
      <w:pPr>
        <w:pStyle w:val="BodyText"/>
        <w:ind w:left="675"/>
      </w:pPr>
      <w:r>
        <w:rPr/>
        <w:t>-Attendre 10 min.</w:t>
      </w:r>
    </w:p>
    <w:p>
      <w:pPr>
        <w:pStyle w:val="BodyText"/>
        <w:spacing w:before="9"/>
        <w:rPr>
          <w:sz w:val="27"/>
        </w:rPr>
      </w:pPr>
    </w:p>
    <w:p>
      <w:pPr>
        <w:pStyle w:val="BodyText"/>
        <w:ind w:left="1382"/>
      </w:pPr>
      <w:r>
        <w:rPr/>
        <w:pict>
          <v:shape style="position:absolute;margin-left:407.456085pt;margin-top:5.667931pt;width:4pt;height:8.9pt;mso-position-horizontal-relative:page;mso-position-vertical-relative:paragraph;z-index:-135184" type="#_x0000_t202" filled="false" stroked="false">
            <v:textbox inset="0,0,0,0">
              <w:txbxContent>
                <w:p>
                  <w:pPr>
                    <w:spacing w:line="177" w:lineRule="exact" w:before="0"/>
                    <w:ind w:left="0" w:right="0" w:firstLine="0"/>
                    <w:jc w:val="left"/>
                    <w:rPr>
                      <w:sz w:val="16"/>
                    </w:rPr>
                  </w:pPr>
                  <w:r>
                    <w:rPr>
                      <w:sz w:val="16"/>
                    </w:rPr>
                    <w:t>2</w:t>
                  </w:r>
                </w:p>
              </w:txbxContent>
            </v:textbox>
            <w10:wrap type="none"/>
          </v:shape>
        </w:pict>
      </w:r>
      <w:r>
        <w:rPr/>
        <w:t>*L’apparition de la coloration rose indique la présence des NO </w:t>
      </w:r>
      <w:r>
        <w:rPr>
          <w:vertAlign w:val="superscript"/>
        </w:rPr>
        <w:t>-</w:t>
      </w:r>
      <w:r>
        <w:rPr>
          <w:vertAlign w:val="baseline"/>
        </w:rPr>
        <w:t>.</w:t>
      </w:r>
    </w:p>
    <w:p>
      <w:pPr>
        <w:pStyle w:val="BodyText"/>
        <w:spacing w:before="9"/>
        <w:rPr>
          <w:sz w:val="27"/>
        </w:rPr>
      </w:pPr>
    </w:p>
    <w:p>
      <w:pPr>
        <w:pStyle w:val="BodyText"/>
        <w:ind w:left="675"/>
      </w:pPr>
      <w:r>
        <w:rPr/>
        <w:t>-Effectuer la lecture à 543 nm.</w:t>
      </w:r>
    </w:p>
    <w:p>
      <w:pPr>
        <w:pStyle w:val="BodyText"/>
        <w:spacing w:before="6"/>
        <w:rPr>
          <w:sz w:val="28"/>
        </w:rPr>
      </w:pPr>
    </w:p>
    <w:p>
      <w:pPr>
        <w:pStyle w:val="Heading4"/>
      </w:pPr>
      <w:r>
        <w:rPr/>
        <w:t>Expression des résultats :</w:t>
      </w:r>
    </w:p>
    <w:p>
      <w:pPr>
        <w:pStyle w:val="BodyText"/>
        <w:spacing w:before="5"/>
        <w:rPr>
          <w:b/>
          <w:sz w:val="27"/>
        </w:rPr>
      </w:pPr>
    </w:p>
    <w:p>
      <w:pPr>
        <w:pStyle w:val="BodyText"/>
        <w:spacing w:before="1"/>
        <w:ind w:left="675"/>
      </w:pPr>
      <w:r>
        <w:rPr/>
        <w:t>Le résultat est donné directement en mg/l.</w:t>
      </w:r>
    </w:p>
    <w:p>
      <w:pPr>
        <w:pStyle w:val="BodyText"/>
        <w:spacing w:before="1"/>
        <w:rPr>
          <w:sz w:val="28"/>
        </w:rPr>
      </w:pPr>
    </w:p>
    <w:p>
      <w:pPr>
        <w:pStyle w:val="Heading4"/>
        <w:numPr>
          <w:ilvl w:val="2"/>
          <w:numId w:val="23"/>
        </w:numPr>
        <w:tabs>
          <w:tab w:pos="1431" w:val="left" w:leader="none"/>
        </w:tabs>
        <w:spacing w:line="240" w:lineRule="auto" w:before="0" w:after="0"/>
        <w:ind w:left="1430" w:right="0" w:hanging="755"/>
        <w:jc w:val="left"/>
      </w:pPr>
      <w:bookmarkStart w:name="_TOC_250032" w:id="49"/>
      <w:r>
        <w:rPr/>
        <w:t>Résidu sec</w:t>
      </w:r>
      <w:r>
        <w:rPr>
          <w:spacing w:val="-1"/>
        </w:rPr>
        <w:t> </w:t>
      </w:r>
      <w:bookmarkEnd w:id="49"/>
      <w:r>
        <w:rPr/>
        <w:t>:</w:t>
      </w:r>
    </w:p>
    <w:p>
      <w:pPr>
        <w:pStyle w:val="BodyText"/>
        <w:spacing w:before="2"/>
        <w:rPr>
          <w:b/>
          <w:sz w:val="28"/>
        </w:rPr>
      </w:pPr>
    </w:p>
    <w:p>
      <w:pPr>
        <w:spacing w:before="0"/>
        <w:ind w:left="675" w:right="0" w:firstLine="0"/>
        <w:jc w:val="left"/>
        <w:rPr>
          <w:b/>
          <w:sz w:val="24"/>
        </w:rPr>
      </w:pPr>
      <w:r>
        <w:rPr>
          <w:b/>
          <w:sz w:val="24"/>
        </w:rPr>
        <w:t>Principe :</w:t>
      </w:r>
    </w:p>
    <w:p>
      <w:pPr>
        <w:pStyle w:val="BodyText"/>
        <w:spacing w:before="5"/>
        <w:rPr>
          <w:b/>
          <w:sz w:val="27"/>
        </w:rPr>
      </w:pPr>
    </w:p>
    <w:p>
      <w:pPr>
        <w:pStyle w:val="BodyText"/>
        <w:spacing w:line="273" w:lineRule="auto" w:before="1"/>
        <w:ind w:left="675" w:right="1434" w:firstLine="707"/>
        <w:jc w:val="both"/>
      </w:pPr>
      <w:r>
        <w:rPr/>
        <w:t>Une certaine quantité d’eau bien mélangée est évaporée dans une capsule tarée. Le résidu desséché est ensuite pesé. (Rodier, 2009).</w:t>
      </w:r>
    </w:p>
    <w:p>
      <w:pPr>
        <w:spacing w:after="0" w:line="273" w:lineRule="auto"/>
        <w:jc w:val="both"/>
        <w:sectPr>
          <w:pgSz w:w="11900" w:h="16840"/>
          <w:pgMar w:header="727" w:footer="1061" w:top="1180" w:bottom="1260" w:left="740" w:right="0"/>
        </w:sectPr>
      </w:pPr>
    </w:p>
    <w:p>
      <w:pPr>
        <w:pStyle w:val="BodyText"/>
        <w:spacing w:before="4"/>
        <w:rPr>
          <w:sz w:val="16"/>
        </w:rPr>
      </w:pPr>
    </w:p>
    <w:p>
      <w:pPr>
        <w:pStyle w:val="Heading4"/>
        <w:spacing w:before="90"/>
      </w:pPr>
      <w:r>
        <w:rPr/>
        <w:t>Matériel spécial :</w:t>
      </w:r>
    </w:p>
    <w:p>
      <w:pPr>
        <w:pStyle w:val="BodyText"/>
        <w:spacing w:before="9"/>
        <w:rPr>
          <w:b/>
          <w:sz w:val="27"/>
        </w:rPr>
      </w:pPr>
    </w:p>
    <w:p>
      <w:pPr>
        <w:pStyle w:val="ListParagraph"/>
        <w:numPr>
          <w:ilvl w:val="0"/>
          <w:numId w:val="19"/>
        </w:numPr>
        <w:tabs>
          <w:tab w:pos="872" w:val="left" w:leader="none"/>
        </w:tabs>
        <w:spacing w:line="240" w:lineRule="auto" w:before="0" w:after="0"/>
        <w:ind w:left="871" w:right="0" w:hanging="136"/>
        <w:jc w:val="left"/>
        <w:rPr>
          <w:sz w:val="24"/>
        </w:rPr>
      </w:pPr>
      <w:r>
        <w:rPr>
          <w:sz w:val="24"/>
        </w:rPr>
        <w:t>Capsule en aluminium, ou en platine.</w:t>
      </w:r>
    </w:p>
    <w:p>
      <w:pPr>
        <w:pStyle w:val="BodyText"/>
        <w:spacing w:before="9"/>
        <w:rPr>
          <w:sz w:val="27"/>
        </w:rPr>
      </w:pPr>
    </w:p>
    <w:p>
      <w:pPr>
        <w:pStyle w:val="ListParagraph"/>
        <w:numPr>
          <w:ilvl w:val="0"/>
          <w:numId w:val="19"/>
        </w:numPr>
        <w:tabs>
          <w:tab w:pos="876" w:val="left" w:leader="none"/>
        </w:tabs>
        <w:spacing w:line="240" w:lineRule="auto" w:before="0" w:after="0"/>
        <w:ind w:left="875" w:right="0" w:hanging="200"/>
        <w:jc w:val="left"/>
        <w:rPr>
          <w:sz w:val="24"/>
        </w:rPr>
      </w:pPr>
      <w:r>
        <w:rPr>
          <w:sz w:val="24"/>
        </w:rPr>
        <w:t>Bain-marie.</w:t>
      </w:r>
    </w:p>
    <w:p>
      <w:pPr>
        <w:pStyle w:val="BodyText"/>
        <w:spacing w:before="9"/>
        <w:rPr>
          <w:sz w:val="27"/>
        </w:rPr>
      </w:pPr>
    </w:p>
    <w:p>
      <w:pPr>
        <w:pStyle w:val="BodyText"/>
        <w:spacing w:before="1"/>
        <w:ind w:left="675"/>
      </w:pPr>
      <w:r>
        <w:rPr/>
        <w:t>-Étuve réglable à 105-110 °C et 175-185 °C.</w:t>
      </w:r>
    </w:p>
    <w:p>
      <w:pPr>
        <w:pStyle w:val="BodyText"/>
        <w:spacing w:before="5"/>
        <w:rPr>
          <w:sz w:val="28"/>
        </w:rPr>
      </w:pPr>
    </w:p>
    <w:p>
      <w:pPr>
        <w:pStyle w:val="Heading4"/>
      </w:pPr>
      <w:r>
        <w:rPr/>
        <w:t>Mode d’opératoire :</w:t>
      </w:r>
    </w:p>
    <w:p>
      <w:pPr>
        <w:pStyle w:val="BodyText"/>
        <w:spacing w:before="5"/>
        <w:rPr>
          <w:b/>
          <w:sz w:val="27"/>
        </w:rPr>
      </w:pPr>
    </w:p>
    <w:p>
      <w:pPr>
        <w:pStyle w:val="BodyText"/>
        <w:ind w:left="675"/>
      </w:pPr>
      <w:r>
        <w:rPr/>
        <w:t>-Tarer une capsule préalablement lavée, rincée à l’eau distillée et desséchée.</w:t>
      </w:r>
    </w:p>
    <w:p>
      <w:pPr>
        <w:pStyle w:val="BodyText"/>
        <w:spacing w:before="10"/>
        <w:rPr>
          <w:sz w:val="27"/>
        </w:rPr>
      </w:pPr>
    </w:p>
    <w:p>
      <w:pPr>
        <w:pStyle w:val="BodyText"/>
        <w:ind w:left="675"/>
      </w:pPr>
      <w:r>
        <w:rPr/>
        <w:t>-Prélever 100 ml d’eau à analyser dans une fiole jaugée et déverser la dans la capsule.</w:t>
      </w:r>
    </w:p>
    <w:p>
      <w:pPr>
        <w:pStyle w:val="BodyText"/>
        <w:spacing w:before="1"/>
        <w:rPr>
          <w:sz w:val="28"/>
        </w:rPr>
      </w:pPr>
    </w:p>
    <w:p>
      <w:pPr>
        <w:pStyle w:val="BodyText"/>
        <w:spacing w:before="1"/>
        <w:ind w:left="675"/>
      </w:pPr>
      <w:r>
        <w:rPr/>
        <w:t>-Porter cette dernière à l’étuve à 105° C pendant 24 heures.</w:t>
      </w:r>
    </w:p>
    <w:p>
      <w:pPr>
        <w:pStyle w:val="BodyText"/>
        <w:spacing w:before="9"/>
        <w:rPr>
          <w:sz w:val="27"/>
        </w:rPr>
      </w:pPr>
    </w:p>
    <w:p>
      <w:pPr>
        <w:pStyle w:val="BodyText"/>
        <w:ind w:left="675"/>
      </w:pPr>
      <w:r>
        <w:rPr/>
        <w:t>-Laisser refroidir pendant ¼ d’heure au dessiccateur.</w:t>
      </w:r>
    </w:p>
    <w:p>
      <w:pPr>
        <w:pStyle w:val="BodyText"/>
        <w:spacing w:before="1"/>
        <w:rPr>
          <w:sz w:val="28"/>
        </w:rPr>
      </w:pPr>
    </w:p>
    <w:p>
      <w:pPr>
        <w:pStyle w:val="BodyText"/>
        <w:spacing w:before="1"/>
        <w:ind w:left="675"/>
      </w:pPr>
      <w:r>
        <w:rPr/>
        <w:t>-Peser immédiatement et rapidement.</w:t>
      </w:r>
    </w:p>
    <w:p>
      <w:pPr>
        <w:pStyle w:val="BodyText"/>
        <w:rPr>
          <w:sz w:val="26"/>
        </w:rPr>
      </w:pPr>
    </w:p>
    <w:p>
      <w:pPr>
        <w:pStyle w:val="BodyText"/>
        <w:rPr>
          <w:sz w:val="26"/>
        </w:rPr>
      </w:pPr>
    </w:p>
    <w:p>
      <w:pPr>
        <w:pStyle w:val="BodyText"/>
        <w:spacing w:before="11"/>
        <w:rPr>
          <w:sz w:val="27"/>
        </w:rPr>
      </w:pPr>
    </w:p>
    <w:p>
      <w:pPr>
        <w:pStyle w:val="Heading4"/>
      </w:pPr>
      <w:r>
        <w:rPr/>
        <w:t>Expression des résultats :</w:t>
      </w:r>
    </w:p>
    <w:p>
      <w:pPr>
        <w:pStyle w:val="BodyText"/>
        <w:spacing w:before="9"/>
        <w:rPr>
          <w:b/>
          <w:sz w:val="27"/>
        </w:rPr>
      </w:pPr>
    </w:p>
    <w:p>
      <w:pPr>
        <w:pStyle w:val="BodyText"/>
        <w:spacing w:line="273" w:lineRule="auto"/>
        <w:ind w:left="675" w:right="1450"/>
      </w:pPr>
      <w:r>
        <w:rPr/>
        <w:t>La masse du résidu sec multipliée par 2 donne la masse du résidu sec de 1 litre d’eau.(Rodier, 2009).</w:t>
      </w:r>
    </w:p>
    <w:p>
      <w:pPr>
        <w:pStyle w:val="BodyText"/>
        <w:spacing w:before="11"/>
      </w:pPr>
    </w:p>
    <w:p>
      <w:pPr>
        <w:pStyle w:val="Heading4"/>
        <w:numPr>
          <w:ilvl w:val="2"/>
          <w:numId w:val="23"/>
        </w:numPr>
        <w:tabs>
          <w:tab w:pos="1551" w:val="left" w:leader="none"/>
        </w:tabs>
        <w:spacing w:line="240" w:lineRule="auto" w:before="0" w:after="0"/>
        <w:ind w:left="1550" w:right="0" w:hanging="875"/>
        <w:jc w:val="left"/>
      </w:pPr>
      <w:bookmarkStart w:name="_TOC_250031" w:id="50"/>
      <w:r>
        <w:rPr/>
        <w:t>Détermination des chlorures (Cl</w:t>
      </w:r>
      <w:r>
        <w:rPr>
          <w:vertAlign w:val="superscript"/>
        </w:rPr>
        <w:t>-</w:t>
      </w:r>
      <w:r>
        <w:rPr>
          <w:vertAlign w:val="baseline"/>
        </w:rPr>
        <w:t>)</w:t>
      </w:r>
      <w:r>
        <w:rPr>
          <w:spacing w:val="-3"/>
          <w:vertAlign w:val="baseline"/>
        </w:rPr>
        <w:t> </w:t>
      </w:r>
      <w:bookmarkEnd w:id="50"/>
      <w:r>
        <w:rPr>
          <w:vertAlign w:val="baseline"/>
        </w:rPr>
        <w:t>:</w:t>
      </w:r>
    </w:p>
    <w:p>
      <w:pPr>
        <w:pStyle w:val="BodyText"/>
        <w:spacing w:before="9"/>
        <w:rPr>
          <w:b/>
          <w:sz w:val="27"/>
        </w:rPr>
      </w:pPr>
    </w:p>
    <w:p>
      <w:pPr>
        <w:pStyle w:val="BodyText"/>
        <w:spacing w:line="273" w:lineRule="auto"/>
        <w:ind w:left="675" w:right="1426" w:firstLine="707"/>
        <w:jc w:val="both"/>
      </w:pPr>
      <w:r>
        <w:rPr/>
        <w:t>Les chlorures sont doses en milieu neutre par une solution titrée de nitrates d’argent en présence de chromate de potassium. </w:t>
      </w:r>
      <w:r>
        <w:rPr>
          <w:spacing w:val="-6"/>
        </w:rPr>
        <w:t>La </w:t>
      </w:r>
      <w:r>
        <w:rPr/>
        <w:t>fin de réaction est indiquée par l’apparition de la teinte rouge caractéristique du chromate</w:t>
      </w:r>
      <w:r>
        <w:rPr>
          <w:spacing w:val="-2"/>
        </w:rPr>
        <w:t> </w:t>
      </w:r>
      <w:r>
        <w:rPr/>
        <w:t>d’argent.</w:t>
      </w:r>
    </w:p>
    <w:p>
      <w:pPr>
        <w:pStyle w:val="Heading4"/>
        <w:spacing w:before="212"/>
      </w:pPr>
      <w:r>
        <w:rPr/>
        <w:t>Réactifs :</w:t>
      </w:r>
    </w:p>
    <w:p>
      <w:pPr>
        <w:pStyle w:val="BodyText"/>
        <w:spacing w:before="5"/>
        <w:rPr>
          <w:b/>
          <w:sz w:val="20"/>
        </w:rPr>
      </w:pPr>
    </w:p>
    <w:p>
      <w:pPr>
        <w:pStyle w:val="BodyText"/>
        <w:ind w:left="675"/>
      </w:pPr>
      <w:r>
        <w:rPr/>
        <w:t>-Solution de chromate de potassium à 10 %.</w:t>
      </w:r>
    </w:p>
    <w:p>
      <w:pPr>
        <w:pStyle w:val="BodyText"/>
        <w:spacing w:before="10"/>
        <w:rPr>
          <w:sz w:val="20"/>
        </w:rPr>
      </w:pPr>
    </w:p>
    <w:p>
      <w:pPr>
        <w:pStyle w:val="BodyText"/>
        <w:ind w:left="675"/>
      </w:pPr>
      <w:r>
        <w:rPr/>
        <w:t>-Solution de nitrate d’argent N/10.</w:t>
      </w:r>
    </w:p>
    <w:p>
      <w:pPr>
        <w:pStyle w:val="BodyText"/>
        <w:spacing w:before="6"/>
        <w:rPr>
          <w:sz w:val="21"/>
        </w:rPr>
      </w:pPr>
    </w:p>
    <w:p>
      <w:pPr>
        <w:pStyle w:val="Heading4"/>
      </w:pPr>
      <w:r>
        <w:rPr/>
        <w:t>Mode d’opératoire :</w:t>
      </w:r>
    </w:p>
    <w:p>
      <w:pPr>
        <w:pStyle w:val="BodyText"/>
        <w:spacing w:before="6"/>
        <w:rPr>
          <w:b/>
          <w:sz w:val="20"/>
        </w:rPr>
      </w:pPr>
    </w:p>
    <w:p>
      <w:pPr>
        <w:pStyle w:val="BodyText"/>
        <w:spacing w:line="273" w:lineRule="auto" w:before="1"/>
        <w:ind w:left="675" w:right="1421"/>
      </w:pPr>
      <w:r>
        <w:rPr/>
        <w:t>-Introduire 25 ml d’eau à analyser, dans un erlenmeyer au col large, ajouter 02 à 03 gouttes de solution de chromate de potassium à 10 %.</w:t>
      </w:r>
    </w:p>
    <w:p>
      <w:pPr>
        <w:pStyle w:val="BodyText"/>
        <w:spacing w:line="273" w:lineRule="auto" w:before="206"/>
        <w:ind w:left="675" w:right="1450"/>
      </w:pPr>
      <w:r>
        <w:rPr/>
        <w:t>-Verser au moyen d’une burette la solution de nitrate d’argent jusqu’à apparition d’une teinte rougeâtre, qui doit persister 1 à 3 min.</w:t>
      </w:r>
    </w:p>
    <w:p>
      <w:pPr>
        <w:pStyle w:val="BodyText"/>
        <w:spacing w:before="202"/>
        <w:ind w:left="675"/>
      </w:pPr>
      <w:r>
        <w:rPr/>
        <w:t>Soit V le nombre de millilitres de nitrate d’argent N/50 utilisé.</w:t>
      </w:r>
    </w:p>
    <w:p>
      <w:pPr>
        <w:spacing w:after="0"/>
        <w:sectPr>
          <w:pgSz w:w="11900" w:h="16840"/>
          <w:pgMar w:header="727" w:footer="1061" w:top="1180" w:bottom="1260" w:left="740" w:right="0"/>
        </w:sectPr>
      </w:pPr>
    </w:p>
    <w:p>
      <w:pPr>
        <w:pStyle w:val="BodyText"/>
        <w:spacing w:before="4"/>
        <w:rPr>
          <w:sz w:val="16"/>
        </w:rPr>
      </w:pPr>
    </w:p>
    <w:p>
      <w:pPr>
        <w:pStyle w:val="Heading4"/>
        <w:spacing w:before="90"/>
        <w:ind w:left="735"/>
      </w:pPr>
      <w:r>
        <w:rPr/>
        <w:t>Expression des résultats :</w:t>
      </w:r>
    </w:p>
    <w:p>
      <w:pPr>
        <w:pStyle w:val="BodyText"/>
        <w:spacing w:before="9"/>
        <w:rPr>
          <w:b/>
          <w:sz w:val="20"/>
        </w:rPr>
      </w:pPr>
    </w:p>
    <w:p>
      <w:pPr>
        <w:pStyle w:val="BodyText"/>
        <w:spacing w:before="1"/>
        <w:ind w:left="2091"/>
      </w:pPr>
      <w:r>
        <w:rPr/>
        <w:t>Teneur (mg/l) = V titre * 142</w:t>
      </w:r>
    </w:p>
    <w:p>
      <w:pPr>
        <w:pStyle w:val="BodyText"/>
        <w:spacing w:before="1"/>
        <w:rPr>
          <w:sz w:val="21"/>
        </w:rPr>
      </w:pPr>
    </w:p>
    <w:p>
      <w:pPr>
        <w:pStyle w:val="Heading4"/>
        <w:numPr>
          <w:ilvl w:val="2"/>
          <w:numId w:val="23"/>
        </w:numPr>
        <w:tabs>
          <w:tab w:pos="1551" w:val="left" w:leader="none"/>
        </w:tabs>
        <w:spacing w:line="240" w:lineRule="auto" w:before="1" w:after="0"/>
        <w:ind w:left="1550" w:right="0" w:hanging="875"/>
        <w:jc w:val="left"/>
      </w:pPr>
      <w:bookmarkStart w:name="_TOC_250030" w:id="51"/>
      <w:r>
        <w:rPr/>
        <w:t>Dosage </w:t>
      </w:r>
      <w:r>
        <w:rPr>
          <w:spacing w:val="-3"/>
        </w:rPr>
        <w:t>du </w:t>
      </w:r>
      <w:r>
        <w:rPr/>
        <w:t>sulfate</w:t>
      </w:r>
      <w:r>
        <w:rPr>
          <w:spacing w:val="10"/>
        </w:rPr>
        <w:t> </w:t>
      </w:r>
      <w:bookmarkEnd w:id="51"/>
      <w:r>
        <w:rPr/>
        <w:t>:</w:t>
      </w:r>
    </w:p>
    <w:p>
      <w:pPr>
        <w:pStyle w:val="BodyText"/>
        <w:spacing w:before="10"/>
        <w:rPr>
          <w:b/>
          <w:sz w:val="20"/>
        </w:rPr>
      </w:pPr>
    </w:p>
    <w:p>
      <w:pPr>
        <w:spacing w:before="0"/>
        <w:ind w:left="675" w:right="0" w:firstLine="0"/>
        <w:jc w:val="left"/>
        <w:rPr>
          <w:b/>
          <w:sz w:val="24"/>
        </w:rPr>
      </w:pPr>
      <w:r>
        <w:rPr>
          <w:b/>
          <w:sz w:val="24"/>
        </w:rPr>
        <w:t>Principe :</w:t>
      </w:r>
    </w:p>
    <w:p>
      <w:pPr>
        <w:pStyle w:val="BodyText"/>
        <w:spacing w:before="9"/>
        <w:rPr>
          <w:b/>
          <w:sz w:val="20"/>
        </w:rPr>
      </w:pPr>
    </w:p>
    <w:p>
      <w:pPr>
        <w:pStyle w:val="BodyText"/>
        <w:spacing w:before="1"/>
        <w:ind w:left="1382"/>
      </w:pPr>
      <w:r>
        <w:rPr/>
        <w:t>Les ions sulfates sont précipités et pesés à l’état de sulfate de barum.</w:t>
      </w:r>
    </w:p>
    <w:p>
      <w:pPr>
        <w:pStyle w:val="BodyText"/>
        <w:spacing w:before="2"/>
        <w:rPr>
          <w:sz w:val="21"/>
        </w:rPr>
      </w:pPr>
    </w:p>
    <w:p>
      <w:pPr>
        <w:pStyle w:val="Heading4"/>
      </w:pPr>
      <w:r>
        <w:rPr/>
        <w:t>Réactifs :</w:t>
      </w:r>
    </w:p>
    <w:p>
      <w:pPr>
        <w:pStyle w:val="BodyText"/>
        <w:spacing w:before="5"/>
        <w:rPr>
          <w:b/>
          <w:sz w:val="20"/>
        </w:rPr>
      </w:pPr>
    </w:p>
    <w:p>
      <w:pPr>
        <w:pStyle w:val="BodyText"/>
        <w:ind w:left="675"/>
      </w:pPr>
      <w:r>
        <w:rPr/>
        <w:t>-solution-mère de sulfates à 1 g/l à partir de Na</w:t>
      </w:r>
      <w:r>
        <w:rPr>
          <w:vertAlign w:val="subscript"/>
        </w:rPr>
        <w:t>2</w:t>
      </w:r>
      <w:r>
        <w:rPr>
          <w:vertAlign w:val="baseline"/>
        </w:rPr>
        <w:t>SO</w:t>
      </w:r>
      <w:r>
        <w:rPr>
          <w:vertAlign w:val="subscript"/>
        </w:rPr>
        <w:t>4.</w:t>
      </w:r>
    </w:p>
    <w:p>
      <w:pPr>
        <w:pStyle w:val="BodyText"/>
        <w:spacing w:before="244"/>
        <w:ind w:left="675"/>
      </w:pPr>
      <w:r>
        <w:rPr/>
        <w:t>-Solution stabilisante.</w:t>
      </w:r>
    </w:p>
    <w:p>
      <w:pPr>
        <w:pStyle w:val="BodyText"/>
        <w:spacing w:before="10"/>
        <w:rPr>
          <w:sz w:val="20"/>
        </w:rPr>
      </w:pPr>
    </w:p>
    <w:p>
      <w:pPr>
        <w:pStyle w:val="BodyText"/>
        <w:ind w:left="675"/>
      </w:pPr>
      <w:r>
        <w:rPr/>
        <w:t>-Solution de chlorure de baryum.</w:t>
      </w:r>
    </w:p>
    <w:p>
      <w:pPr>
        <w:pStyle w:val="BodyText"/>
        <w:spacing w:before="6"/>
        <w:rPr>
          <w:sz w:val="21"/>
        </w:rPr>
      </w:pPr>
    </w:p>
    <w:p>
      <w:pPr>
        <w:pStyle w:val="Heading4"/>
      </w:pPr>
      <w:r>
        <w:rPr/>
        <w:t>Mode opératoire :</w:t>
      </w:r>
    </w:p>
    <w:p>
      <w:pPr>
        <w:pStyle w:val="BodyText"/>
        <w:spacing w:before="6"/>
        <w:rPr>
          <w:b/>
          <w:sz w:val="20"/>
        </w:rPr>
      </w:pPr>
    </w:p>
    <w:p>
      <w:pPr>
        <w:pStyle w:val="BodyText"/>
        <w:ind w:left="675"/>
      </w:pPr>
      <w:r>
        <w:rPr/>
        <w:t>-Prendre 20 ml d’eau à analyser puis compléter à 100 ml d’eau distillée.</w:t>
      </w:r>
    </w:p>
    <w:p>
      <w:pPr>
        <w:pStyle w:val="BodyText"/>
        <w:spacing w:before="10"/>
        <w:rPr>
          <w:sz w:val="20"/>
        </w:rPr>
      </w:pPr>
    </w:p>
    <w:p>
      <w:pPr>
        <w:pStyle w:val="BodyText"/>
        <w:ind w:left="675"/>
      </w:pPr>
      <w:r>
        <w:rPr/>
        <w:t>-Ajouter 5 ml de la solution stabilisante.</w:t>
      </w:r>
    </w:p>
    <w:p>
      <w:pPr>
        <w:pStyle w:val="BodyText"/>
        <w:spacing w:before="2"/>
        <w:rPr>
          <w:sz w:val="21"/>
        </w:rPr>
      </w:pPr>
    </w:p>
    <w:p>
      <w:pPr>
        <w:pStyle w:val="BodyText"/>
        <w:spacing w:before="1"/>
        <w:ind w:left="675"/>
      </w:pPr>
      <w:r>
        <w:rPr/>
        <w:t>-Ajouter 2 ml de chlorure de</w:t>
      </w:r>
      <w:r>
        <w:rPr>
          <w:spacing w:val="-19"/>
        </w:rPr>
        <w:t> </w:t>
      </w:r>
      <w:r>
        <w:rPr/>
        <w:t>baryum.</w:t>
      </w:r>
    </w:p>
    <w:p>
      <w:pPr>
        <w:pStyle w:val="BodyText"/>
        <w:spacing w:before="9"/>
        <w:rPr>
          <w:sz w:val="20"/>
        </w:rPr>
      </w:pPr>
    </w:p>
    <w:p>
      <w:pPr>
        <w:pStyle w:val="BodyText"/>
        <w:ind w:left="675"/>
      </w:pPr>
      <w:r>
        <w:rPr/>
        <w:t>-Agiter énergiquement pendant 1</w:t>
      </w:r>
      <w:r>
        <w:rPr>
          <w:spacing w:val="-16"/>
        </w:rPr>
        <w:t> </w:t>
      </w:r>
      <w:r>
        <w:rPr/>
        <w:t>mn.</w:t>
      </w:r>
    </w:p>
    <w:p>
      <w:pPr>
        <w:pStyle w:val="BodyText"/>
        <w:spacing w:before="10"/>
        <w:rPr>
          <w:sz w:val="20"/>
        </w:rPr>
      </w:pPr>
    </w:p>
    <w:p>
      <w:pPr>
        <w:pStyle w:val="BodyText"/>
        <w:ind w:left="675"/>
      </w:pPr>
      <w:r>
        <w:rPr/>
        <w:t>-Passer au spectrophotomètre à λ = 420 nm.</w:t>
      </w:r>
    </w:p>
    <w:p>
      <w:pPr>
        <w:pStyle w:val="BodyText"/>
        <w:spacing w:before="7"/>
        <w:rPr>
          <w:sz w:val="21"/>
        </w:rPr>
      </w:pPr>
    </w:p>
    <w:p>
      <w:pPr>
        <w:pStyle w:val="Heading4"/>
      </w:pPr>
      <w:r>
        <w:rPr/>
        <w:t>Expression des résultats :</w:t>
      </w:r>
    </w:p>
    <w:p>
      <w:pPr>
        <w:pStyle w:val="BodyText"/>
        <w:spacing w:before="5"/>
        <w:rPr>
          <w:b/>
          <w:sz w:val="20"/>
        </w:rPr>
      </w:pPr>
    </w:p>
    <w:p>
      <w:pPr>
        <w:pStyle w:val="BodyText"/>
        <w:ind w:left="675"/>
      </w:pPr>
      <w:r>
        <w:rPr/>
        <w:pict>
          <v:shape style="position:absolute;margin-left:118.940041pt;margin-top:5.677934pt;width:4pt;height:8.9pt;mso-position-horizontal-relative:page;mso-position-vertical-relative:paragraph;z-index:-135160" type="#_x0000_t202" filled="false" stroked="false">
            <v:textbox inset="0,0,0,0">
              <w:txbxContent>
                <w:p>
                  <w:pPr>
                    <w:spacing w:line="177" w:lineRule="exact" w:before="0"/>
                    <w:ind w:left="0" w:right="0" w:firstLine="0"/>
                    <w:jc w:val="left"/>
                    <w:rPr>
                      <w:sz w:val="16"/>
                    </w:rPr>
                  </w:pPr>
                  <w:r>
                    <w:rPr>
                      <w:sz w:val="16"/>
                    </w:rPr>
                    <w:t>4</w:t>
                  </w:r>
                </w:p>
              </w:txbxContent>
            </v:textbox>
            <w10:wrap type="none"/>
          </v:shape>
        </w:pict>
      </w:r>
      <w:r>
        <w:rPr/>
        <w:t>Mg/l SO</w:t>
      </w:r>
      <w:r>
        <w:rPr>
          <w:vertAlign w:val="superscript"/>
        </w:rPr>
        <w:t>2-</w:t>
      </w:r>
      <w:r>
        <w:rPr>
          <w:vertAlign w:val="baseline"/>
        </w:rPr>
        <w:t> = La valeur lue sur le spectrophotomètre * la dilution. (ISO</w:t>
      </w:r>
      <w:r>
        <w:rPr>
          <w:color w:val="0000FF"/>
          <w:u w:val="single" w:color="0000FF"/>
          <w:vertAlign w:val="baseline"/>
        </w:rPr>
        <w:t>22743</w:t>
      </w:r>
      <w:r>
        <w:rPr>
          <w:vertAlign w:val="baseline"/>
        </w:rPr>
        <w:t>).</w:t>
      </w:r>
    </w:p>
    <w:p>
      <w:pPr>
        <w:pStyle w:val="BodyText"/>
        <w:rPr>
          <w:sz w:val="30"/>
        </w:rPr>
      </w:pPr>
    </w:p>
    <w:p>
      <w:pPr>
        <w:pStyle w:val="BodyText"/>
        <w:spacing w:before="5"/>
        <w:rPr>
          <w:sz w:val="36"/>
        </w:rPr>
      </w:pPr>
    </w:p>
    <w:p>
      <w:pPr>
        <w:pStyle w:val="Heading4"/>
        <w:numPr>
          <w:ilvl w:val="2"/>
          <w:numId w:val="23"/>
        </w:numPr>
        <w:tabs>
          <w:tab w:pos="1551" w:val="left" w:leader="none"/>
        </w:tabs>
        <w:spacing w:line="240" w:lineRule="auto" w:before="0" w:after="0"/>
        <w:ind w:left="1550" w:right="0" w:hanging="875"/>
        <w:jc w:val="left"/>
      </w:pPr>
      <w:bookmarkStart w:name="_TOC_250029" w:id="52"/>
      <w:r>
        <w:rPr/>
        <w:t>Détermination du fer</w:t>
      </w:r>
      <w:r>
        <w:rPr>
          <w:spacing w:val="3"/>
        </w:rPr>
        <w:t> </w:t>
      </w:r>
      <w:bookmarkEnd w:id="52"/>
      <w:r>
        <w:rPr/>
        <w:t>:</w:t>
      </w:r>
    </w:p>
    <w:p>
      <w:pPr>
        <w:pStyle w:val="BodyText"/>
        <w:spacing w:before="10"/>
        <w:rPr>
          <w:b/>
          <w:sz w:val="20"/>
        </w:rPr>
      </w:pPr>
    </w:p>
    <w:p>
      <w:pPr>
        <w:spacing w:before="0"/>
        <w:ind w:left="675" w:right="0" w:firstLine="0"/>
        <w:jc w:val="left"/>
        <w:rPr>
          <w:b/>
          <w:sz w:val="24"/>
        </w:rPr>
      </w:pPr>
      <w:r>
        <w:rPr>
          <w:b/>
          <w:sz w:val="24"/>
        </w:rPr>
        <w:t>Principe :</w:t>
      </w:r>
    </w:p>
    <w:p>
      <w:pPr>
        <w:pStyle w:val="BodyText"/>
        <w:spacing w:before="5"/>
        <w:rPr>
          <w:b/>
          <w:sz w:val="20"/>
        </w:rPr>
      </w:pPr>
    </w:p>
    <w:p>
      <w:pPr>
        <w:pStyle w:val="BodyText"/>
        <w:spacing w:line="276" w:lineRule="auto" w:before="1"/>
        <w:ind w:left="675" w:right="1414" w:firstLine="707"/>
        <w:jc w:val="both"/>
      </w:pPr>
      <w:r>
        <w:rPr>
          <w:spacing w:val="-4"/>
        </w:rPr>
        <w:t>Le </w:t>
      </w:r>
      <w:r>
        <w:rPr/>
        <w:t>complexe fer (II) – phénanthroline-1010 est stable dans l’intervalle de pH de 2.5 à 9 et l’intensité de la coloration est proportionnelle à la quantité de fer (II) présent. La relation entre la concentration et l’absorbance est linéaire jusqu’à une concentration de 5 mg de fer par litre. </w:t>
      </w:r>
      <w:r>
        <w:rPr>
          <w:spacing w:val="-6"/>
        </w:rPr>
        <w:t>Le </w:t>
      </w:r>
      <w:r>
        <w:rPr/>
        <w:t>maximum d’absorbance se situe à environ 510 nm (coefficient d’absorption 11x10</w:t>
      </w:r>
      <w:r>
        <w:rPr>
          <w:vertAlign w:val="superscript"/>
        </w:rPr>
        <w:t>3</w:t>
      </w:r>
      <w:r>
        <w:rPr>
          <w:vertAlign w:val="baseline"/>
        </w:rPr>
        <w:t>/mol.cm).</w:t>
      </w:r>
    </w:p>
    <w:p>
      <w:pPr>
        <w:pStyle w:val="Heading4"/>
        <w:spacing w:before="204"/>
      </w:pPr>
      <w:r>
        <w:rPr/>
        <w:t>Réactifs :</w:t>
      </w:r>
    </w:p>
    <w:p>
      <w:pPr>
        <w:pStyle w:val="BodyText"/>
        <w:spacing w:before="6"/>
        <w:rPr>
          <w:b/>
          <w:sz w:val="20"/>
        </w:rPr>
      </w:pPr>
    </w:p>
    <w:p>
      <w:pPr>
        <w:pStyle w:val="BodyText"/>
        <w:ind w:left="675"/>
      </w:pPr>
      <w:r>
        <w:rPr/>
        <w:t>-Tampon d’acétate.</w:t>
      </w:r>
    </w:p>
    <w:p>
      <w:pPr>
        <w:pStyle w:val="BodyText"/>
        <w:spacing w:before="2"/>
        <w:rPr>
          <w:sz w:val="21"/>
        </w:rPr>
      </w:pPr>
    </w:p>
    <w:p>
      <w:pPr>
        <w:pStyle w:val="BodyText"/>
        <w:ind w:left="675"/>
      </w:pPr>
      <w:r>
        <w:rPr/>
        <w:t>-Chlorhydrate d’hydroxylamine.</w:t>
      </w:r>
    </w:p>
    <w:p>
      <w:pPr>
        <w:spacing w:after="0"/>
        <w:sectPr>
          <w:pgSz w:w="11900" w:h="16840"/>
          <w:pgMar w:header="727" w:footer="1061" w:top="1180" w:bottom="1260" w:left="740" w:right="0"/>
        </w:sectPr>
      </w:pPr>
    </w:p>
    <w:p>
      <w:pPr>
        <w:pStyle w:val="BodyText"/>
        <w:rPr>
          <w:sz w:val="16"/>
        </w:rPr>
      </w:pPr>
    </w:p>
    <w:p>
      <w:pPr>
        <w:pStyle w:val="BodyText"/>
        <w:spacing w:before="90"/>
        <w:ind w:left="675"/>
      </w:pPr>
      <w:r>
        <w:rPr/>
        <w:t>-Solution de phéanthroline-1.10</w:t>
      </w:r>
    </w:p>
    <w:p>
      <w:pPr>
        <w:pStyle w:val="BodyText"/>
        <w:spacing w:before="2"/>
        <w:rPr>
          <w:sz w:val="21"/>
        </w:rPr>
      </w:pPr>
    </w:p>
    <w:p>
      <w:pPr>
        <w:pStyle w:val="BodyText"/>
        <w:ind w:left="675"/>
      </w:pPr>
      <w:r>
        <w:rPr/>
        <w:t>-Solution mère.</w:t>
      </w:r>
    </w:p>
    <w:p>
      <w:pPr>
        <w:pStyle w:val="BodyText"/>
        <w:spacing w:before="2"/>
        <w:rPr>
          <w:sz w:val="21"/>
        </w:rPr>
      </w:pPr>
    </w:p>
    <w:p>
      <w:pPr>
        <w:pStyle w:val="Heading4"/>
      </w:pPr>
      <w:r>
        <w:rPr/>
        <w:t>Mode opératoire :</w:t>
      </w:r>
    </w:p>
    <w:p>
      <w:pPr>
        <w:pStyle w:val="BodyText"/>
        <w:spacing w:before="6"/>
        <w:rPr>
          <w:b/>
          <w:sz w:val="20"/>
        </w:rPr>
      </w:pPr>
    </w:p>
    <w:p>
      <w:pPr>
        <w:pStyle w:val="BodyText"/>
        <w:spacing w:line="278" w:lineRule="auto"/>
        <w:ind w:left="675" w:right="1797"/>
      </w:pPr>
      <w:r>
        <w:rPr/>
        <w:t>-Ajouterà la solution transvasée, 1ml de la solution de chlorhydrate d’hydroxylamine et mélanger soigneusement.</w:t>
      </w:r>
    </w:p>
    <w:p>
      <w:pPr>
        <w:pStyle w:val="BodyText"/>
        <w:spacing w:line="273" w:lineRule="auto" w:before="195"/>
        <w:ind w:left="675" w:right="1797"/>
      </w:pPr>
      <w:r>
        <w:rPr/>
        <w:t>-Ajouté 2ml </w:t>
      </w:r>
      <w:r>
        <w:rPr>
          <w:spacing w:val="-3"/>
        </w:rPr>
        <w:t>de </w:t>
      </w:r>
      <w:r>
        <w:rPr/>
        <w:t>tampon acétate pour obtenir un pH compris entre 3.5 et 5.5 (de préférence 4.5).</w:t>
      </w:r>
    </w:p>
    <w:p>
      <w:pPr>
        <w:pStyle w:val="BodyText"/>
        <w:spacing w:line="276" w:lineRule="auto" w:before="207"/>
        <w:ind w:left="675" w:right="1450"/>
      </w:pPr>
      <w:r>
        <w:rPr/>
        <w:t>-Ajouter enfin 2ml de la solution de phénanthroline-1.10 compléter à 50ml puis conserver les fioles à l’obscurité pendant 15mn.</w:t>
      </w:r>
    </w:p>
    <w:p>
      <w:pPr>
        <w:pStyle w:val="BodyText"/>
        <w:spacing w:before="201"/>
        <w:ind w:left="675"/>
      </w:pPr>
      <w:r>
        <w:rPr/>
        <w:t>-Enfin passer au spectrophotomètre pour mesurage à une longueur d’onde de 510 nm.</w:t>
      </w:r>
    </w:p>
    <w:p>
      <w:pPr>
        <w:pStyle w:val="BodyText"/>
        <w:spacing w:before="2"/>
        <w:rPr>
          <w:sz w:val="21"/>
        </w:rPr>
      </w:pPr>
    </w:p>
    <w:p>
      <w:pPr>
        <w:pStyle w:val="Heading4"/>
      </w:pPr>
      <w:r>
        <w:rPr/>
        <w:t>Expression des résultats :</w:t>
      </w:r>
    </w:p>
    <w:p>
      <w:pPr>
        <w:pStyle w:val="BodyText"/>
        <w:spacing w:before="6"/>
        <w:rPr>
          <w:b/>
          <w:sz w:val="20"/>
        </w:rPr>
      </w:pPr>
    </w:p>
    <w:p>
      <w:pPr>
        <w:pStyle w:val="BodyText"/>
        <w:ind w:left="675"/>
      </w:pPr>
      <w:r>
        <w:rPr/>
        <w:t>Le résultat est donné en mg/l. (ISO 6332).</w:t>
      </w:r>
    </w:p>
    <w:p>
      <w:pPr>
        <w:pStyle w:val="BodyText"/>
        <w:rPr>
          <w:sz w:val="26"/>
        </w:rPr>
      </w:pPr>
    </w:p>
    <w:p>
      <w:pPr>
        <w:pStyle w:val="BodyText"/>
        <w:rPr>
          <w:sz w:val="26"/>
        </w:rPr>
      </w:pPr>
    </w:p>
    <w:p>
      <w:pPr>
        <w:pStyle w:val="Heading4"/>
        <w:numPr>
          <w:ilvl w:val="1"/>
          <w:numId w:val="24"/>
        </w:numPr>
        <w:tabs>
          <w:tab w:pos="1252" w:val="left" w:leader="none"/>
        </w:tabs>
        <w:spacing w:line="240" w:lineRule="auto" w:before="166" w:after="0"/>
        <w:ind w:left="1251" w:right="0" w:hanging="576"/>
        <w:jc w:val="left"/>
      </w:pPr>
      <w:bookmarkStart w:name="_TOC_250028" w:id="53"/>
      <w:r>
        <w:rPr/>
        <w:t>Analyses bactériologiques</w:t>
      </w:r>
      <w:r>
        <w:rPr>
          <w:spacing w:val="-5"/>
        </w:rPr>
        <w:t> </w:t>
      </w:r>
      <w:bookmarkEnd w:id="53"/>
      <w:r>
        <w:rPr/>
        <w:t>:</w:t>
      </w:r>
    </w:p>
    <w:p>
      <w:pPr>
        <w:pStyle w:val="BodyText"/>
        <w:spacing w:before="5"/>
        <w:rPr>
          <w:b/>
          <w:sz w:val="20"/>
        </w:rPr>
      </w:pPr>
    </w:p>
    <w:p>
      <w:pPr>
        <w:pStyle w:val="BodyText"/>
        <w:spacing w:line="360" w:lineRule="auto"/>
        <w:ind w:left="675" w:right="1414" w:firstLine="707"/>
        <w:jc w:val="both"/>
      </w:pPr>
      <w:r>
        <w:rPr/>
        <w:t>L’analyse bactériologique a pour but de mettre en évidence la présence des germes, basés sur la recherche et la numération de celles-ci dans les échantillons à analyser. L’analyse n’est pas seulement qualitative mais aussi quantitative.</w:t>
      </w:r>
    </w:p>
    <w:p>
      <w:pPr>
        <w:pStyle w:val="BodyText"/>
        <w:spacing w:line="362" w:lineRule="auto" w:before="202"/>
        <w:ind w:left="675" w:right="1411" w:firstLine="707"/>
        <w:jc w:val="both"/>
      </w:pPr>
      <w:r>
        <w:rPr/>
        <w:t>Il faut signaler qu’un examen bactériologique ne peut être interpréter que s’il est effectué sur un échantillon correctement prélevé dans un récipient stérile, selon un mode opératoire précis évitant toutes les contaminations accidentelles. </w:t>
      </w:r>
      <w:r>
        <w:rPr>
          <w:rFonts w:ascii="Calibri" w:hAnsi="Calibri"/>
          <w:sz w:val="22"/>
        </w:rPr>
        <w:t>(</w:t>
      </w:r>
      <w:r>
        <w:rPr/>
        <w:t>Leyral et </w:t>
      </w:r>
      <w:r>
        <w:rPr>
          <w:i/>
        </w:rPr>
        <w:t>al</w:t>
      </w:r>
      <w:r>
        <w:rPr/>
        <w:t>, 2002).</w:t>
      </w:r>
    </w:p>
    <w:p>
      <w:pPr>
        <w:pStyle w:val="BodyText"/>
        <w:spacing w:line="357" w:lineRule="auto" w:before="190"/>
        <w:ind w:left="675" w:right="2095" w:firstLine="359"/>
      </w:pPr>
      <w:r>
        <w:rPr/>
        <w:t>Une analyse complète de l’eau brute a été effectuée en se basant sur les paramètres suivants :</w:t>
      </w:r>
    </w:p>
    <w:p>
      <w:pPr>
        <w:pStyle w:val="ListParagraph"/>
        <w:numPr>
          <w:ilvl w:val="2"/>
          <w:numId w:val="24"/>
        </w:numPr>
        <w:tabs>
          <w:tab w:pos="1394" w:val="left" w:leader="none"/>
          <w:tab w:pos="1395" w:val="left" w:leader="none"/>
        </w:tabs>
        <w:spacing w:line="240" w:lineRule="auto" w:before="204" w:after="0"/>
        <w:ind w:left="1394" w:right="0" w:hanging="359"/>
        <w:jc w:val="left"/>
        <w:rPr>
          <w:sz w:val="24"/>
        </w:rPr>
      </w:pPr>
      <w:r>
        <w:rPr>
          <w:sz w:val="24"/>
        </w:rPr>
        <w:t>Recherche et dénombrement des germes</w:t>
      </w:r>
      <w:r>
        <w:rPr>
          <w:spacing w:val="-1"/>
          <w:sz w:val="24"/>
        </w:rPr>
        <w:t> </w:t>
      </w:r>
      <w:r>
        <w:rPr>
          <w:sz w:val="24"/>
        </w:rPr>
        <w:t>totaux.</w:t>
      </w:r>
    </w:p>
    <w:p>
      <w:pPr>
        <w:pStyle w:val="ListParagraph"/>
        <w:numPr>
          <w:ilvl w:val="2"/>
          <w:numId w:val="24"/>
        </w:numPr>
        <w:tabs>
          <w:tab w:pos="1394" w:val="left" w:leader="none"/>
          <w:tab w:pos="1395" w:val="left" w:leader="none"/>
        </w:tabs>
        <w:spacing w:line="240" w:lineRule="auto" w:before="138" w:after="0"/>
        <w:ind w:left="1394" w:right="0" w:hanging="359"/>
        <w:jc w:val="left"/>
        <w:rPr>
          <w:sz w:val="24"/>
        </w:rPr>
      </w:pPr>
      <w:r>
        <w:rPr>
          <w:sz w:val="24"/>
        </w:rPr>
        <w:t>Recherche et dénombrement des coliformes totaux et</w:t>
      </w:r>
      <w:r>
        <w:rPr>
          <w:spacing w:val="-6"/>
          <w:sz w:val="24"/>
        </w:rPr>
        <w:t> </w:t>
      </w:r>
      <w:r>
        <w:rPr>
          <w:sz w:val="24"/>
        </w:rPr>
        <w:t>fécaux.</w:t>
      </w:r>
    </w:p>
    <w:p>
      <w:pPr>
        <w:pStyle w:val="ListParagraph"/>
        <w:numPr>
          <w:ilvl w:val="2"/>
          <w:numId w:val="24"/>
        </w:numPr>
        <w:tabs>
          <w:tab w:pos="1394" w:val="left" w:leader="none"/>
          <w:tab w:pos="1395" w:val="left" w:leader="none"/>
        </w:tabs>
        <w:spacing w:line="240" w:lineRule="auto" w:before="137" w:after="0"/>
        <w:ind w:left="1394" w:right="0" w:hanging="359"/>
        <w:jc w:val="left"/>
        <w:rPr>
          <w:sz w:val="24"/>
        </w:rPr>
      </w:pPr>
      <w:r>
        <w:rPr>
          <w:sz w:val="24"/>
        </w:rPr>
        <w:t>Recherche et dénombrement des Streptocoques fécaux.</w:t>
      </w:r>
    </w:p>
    <w:p>
      <w:pPr>
        <w:pStyle w:val="ListParagraph"/>
        <w:numPr>
          <w:ilvl w:val="2"/>
          <w:numId w:val="24"/>
        </w:numPr>
        <w:tabs>
          <w:tab w:pos="1394" w:val="left" w:leader="none"/>
          <w:tab w:pos="1395" w:val="left" w:leader="none"/>
        </w:tabs>
        <w:spacing w:line="240" w:lineRule="auto" w:before="135" w:after="0"/>
        <w:ind w:left="1394" w:right="0" w:hanging="359"/>
        <w:jc w:val="left"/>
        <w:rPr>
          <w:sz w:val="24"/>
        </w:rPr>
      </w:pPr>
      <w:r>
        <w:rPr>
          <w:sz w:val="24"/>
        </w:rPr>
        <w:t>Recherche et dénombrement des clostridium sulfuto-réducteurs (les</w:t>
      </w:r>
      <w:r>
        <w:rPr>
          <w:spacing w:val="-1"/>
          <w:sz w:val="24"/>
        </w:rPr>
        <w:t> </w:t>
      </w:r>
      <w:r>
        <w:rPr>
          <w:sz w:val="24"/>
        </w:rPr>
        <w:t>ASR).</w:t>
      </w:r>
    </w:p>
    <w:p>
      <w:pPr>
        <w:spacing w:after="0" w:line="240" w:lineRule="auto"/>
        <w:jc w:val="left"/>
        <w:rPr>
          <w:sz w:val="24"/>
        </w:rPr>
        <w:sectPr>
          <w:pgSz w:w="11900" w:h="16840"/>
          <w:pgMar w:header="727" w:footer="1061" w:top="1180" w:bottom="1260" w:left="740" w:right="0"/>
        </w:sectPr>
      </w:pPr>
    </w:p>
    <w:p>
      <w:pPr>
        <w:pStyle w:val="BodyText"/>
        <w:spacing w:before="4"/>
        <w:rPr>
          <w:sz w:val="16"/>
        </w:rPr>
      </w:pPr>
    </w:p>
    <w:p>
      <w:pPr>
        <w:pStyle w:val="Heading4"/>
        <w:numPr>
          <w:ilvl w:val="2"/>
          <w:numId w:val="25"/>
        </w:numPr>
        <w:tabs>
          <w:tab w:pos="1431" w:val="left" w:leader="none"/>
        </w:tabs>
        <w:spacing w:line="240" w:lineRule="auto" w:before="90" w:after="0"/>
        <w:ind w:left="1430" w:right="0" w:hanging="755"/>
        <w:jc w:val="left"/>
      </w:pPr>
      <w:bookmarkStart w:name="_TOC_250027" w:id="54"/>
      <w:r>
        <w:rPr/>
        <w:t>Méthode choisie</w:t>
      </w:r>
      <w:r>
        <w:rPr>
          <w:spacing w:val="1"/>
        </w:rPr>
        <w:t> </w:t>
      </w:r>
      <w:bookmarkEnd w:id="54"/>
      <w:r>
        <w:rPr/>
        <w:t>:</w:t>
      </w:r>
    </w:p>
    <w:p>
      <w:pPr>
        <w:pStyle w:val="BodyText"/>
        <w:spacing w:before="2"/>
        <w:rPr>
          <w:b/>
          <w:sz w:val="29"/>
        </w:rPr>
      </w:pPr>
    </w:p>
    <w:p>
      <w:pPr>
        <w:pStyle w:val="BodyText"/>
        <w:spacing w:line="360" w:lineRule="auto"/>
        <w:ind w:left="675" w:right="1413" w:firstLine="359"/>
        <w:jc w:val="both"/>
      </w:pPr>
      <w:r>
        <w:rPr/>
        <w:t>La méthode est dite indirecte il s’agit d’un dénombrement après culture sur un milieu solide. Pour le dénombrement des coliformes et les streptocoques fécaux la technique de filtration sur membrane a été utilisée.</w:t>
      </w:r>
    </w:p>
    <w:p>
      <w:pPr>
        <w:pStyle w:val="BodyText"/>
        <w:spacing w:line="360" w:lineRule="auto" w:before="198"/>
        <w:ind w:left="675" w:right="1410" w:firstLine="359"/>
        <w:jc w:val="both"/>
      </w:pPr>
      <w:r>
        <w:rPr/>
        <w:t>Le principe de la culture sur un milieu solide est que chaque bactérie donne naissance après incubation à une colonie repérable macroscopiquement. L’unité est alors s’exprime en UFC/volume c'est-à-dire unité formant colonie par unité de volume.</w:t>
      </w:r>
    </w:p>
    <w:p>
      <w:pPr>
        <w:pStyle w:val="ListParagraph"/>
        <w:numPr>
          <w:ilvl w:val="3"/>
          <w:numId w:val="25"/>
        </w:numPr>
        <w:tabs>
          <w:tab w:pos="1395" w:val="left" w:leader="none"/>
        </w:tabs>
        <w:spacing w:line="357" w:lineRule="auto" w:before="199" w:after="0"/>
        <w:ind w:left="1394" w:right="1410" w:hanging="359"/>
        <w:jc w:val="both"/>
        <w:rPr>
          <w:sz w:val="24"/>
        </w:rPr>
      </w:pPr>
      <w:r>
        <w:rPr>
          <w:b/>
          <w:sz w:val="24"/>
        </w:rPr>
        <w:t>La technique </w:t>
      </w:r>
      <w:r>
        <w:rPr>
          <w:b/>
          <w:spacing w:val="-3"/>
          <w:sz w:val="24"/>
        </w:rPr>
        <w:t>de </w:t>
      </w:r>
      <w:r>
        <w:rPr>
          <w:b/>
          <w:sz w:val="24"/>
        </w:rPr>
        <w:t>filtration sur membrane : </w:t>
      </w:r>
      <w:r>
        <w:rPr>
          <w:sz w:val="24"/>
        </w:rPr>
        <w:t>est une méthode utilisée dans le but de concentrer les microorganismes présents dans 100 ml </w:t>
      </w:r>
      <w:r>
        <w:rPr>
          <w:spacing w:val="-3"/>
          <w:sz w:val="24"/>
        </w:rPr>
        <w:t>de </w:t>
      </w:r>
      <w:r>
        <w:rPr>
          <w:sz w:val="24"/>
        </w:rPr>
        <w:t>volume à travers une membrane poreuse de diamètre 0,45µm </w:t>
      </w:r>
      <w:r>
        <w:rPr>
          <w:spacing w:val="-3"/>
          <w:sz w:val="24"/>
        </w:rPr>
        <w:t>de </w:t>
      </w:r>
      <w:r>
        <w:rPr>
          <w:sz w:val="24"/>
        </w:rPr>
        <w:t>diamètre (Photo 06). </w:t>
      </w:r>
      <w:r>
        <w:rPr>
          <w:spacing w:val="-4"/>
          <w:sz w:val="24"/>
        </w:rPr>
        <w:t>Les </w:t>
      </w:r>
      <w:r>
        <w:rPr>
          <w:sz w:val="24"/>
        </w:rPr>
        <w:t>bactéries piégées à la surface de cette membrane sont mises en culture sur un milieu gélosé donné et pendant une durée précise. Après incubation, comme dans le cas de la numération en milieu gélosé, on compte les colonies formées à la surface du filtre. (ISO7899-2 et NF T 90-416).</w:t>
      </w:r>
    </w:p>
    <w:p>
      <w:pPr>
        <w:pStyle w:val="BodyText"/>
        <w:spacing w:before="9"/>
        <w:rPr>
          <w:sz w:val="13"/>
        </w:rPr>
      </w:pPr>
      <w:r>
        <w:rPr/>
        <w:pict>
          <v:group style="position:absolute;margin-left:179.879074pt;margin-top:10.392647pt;width:251.85pt;height:164pt;mso-position-horizontal-relative:page;mso-position-vertical-relative:paragraph;z-index:368;mso-wrap-distance-left:0;mso-wrap-distance-right:0" coordorigin="3598,208" coordsize="5037,3280">
            <v:shape style="position:absolute;left:3597;top:207;width:5037;height:3280" type="#_x0000_t75" stroked="false">
              <v:imagedata r:id="rId107" o:title=""/>
            </v:shape>
            <v:shape style="position:absolute;left:3700;top:302;width:4747;height:3001" type="#_x0000_t75" stroked="false">
              <v:imagedata r:id="rId108" o:title=""/>
            </v:shape>
            <v:rect style="position:absolute;left:3670;top:272;width:4807;height:3061" filled="false" stroked="true" strokeweight="2.997985pt" strokecolor="#000000">
              <v:stroke dashstyle="solid"/>
            </v:rect>
            <w10:wrap type="topAndBottom"/>
          </v:group>
        </w:pict>
      </w:r>
    </w:p>
    <w:p>
      <w:pPr>
        <w:pStyle w:val="BodyText"/>
        <w:spacing w:before="6"/>
        <w:rPr>
          <w:sz w:val="22"/>
        </w:rPr>
      </w:pPr>
    </w:p>
    <w:p>
      <w:pPr>
        <w:pStyle w:val="BodyText"/>
        <w:ind w:left="2386"/>
      </w:pPr>
      <w:r>
        <w:rPr>
          <w:b/>
        </w:rPr>
        <w:t>Photo 06: </w:t>
      </w:r>
      <w:r>
        <w:rPr/>
        <w:t>membrane à filtration. (Bentafar et Djebairia, 2016)</w:t>
      </w:r>
    </w:p>
    <w:p>
      <w:pPr>
        <w:pStyle w:val="BodyText"/>
        <w:spacing w:before="9"/>
        <w:rPr>
          <w:sz w:val="29"/>
        </w:rPr>
      </w:pPr>
    </w:p>
    <w:p>
      <w:pPr>
        <w:pStyle w:val="Heading4"/>
        <w:numPr>
          <w:ilvl w:val="3"/>
          <w:numId w:val="25"/>
        </w:numPr>
        <w:tabs>
          <w:tab w:pos="1394" w:val="left" w:leader="none"/>
          <w:tab w:pos="1395" w:val="left" w:leader="none"/>
        </w:tabs>
        <w:spacing w:line="240" w:lineRule="auto" w:before="0" w:after="0"/>
        <w:ind w:left="1394" w:right="0" w:hanging="359"/>
        <w:jc w:val="left"/>
      </w:pPr>
      <w:r>
        <w:rPr/>
        <w:t>Le principe</w:t>
      </w:r>
      <w:r>
        <w:rPr>
          <w:spacing w:val="3"/>
        </w:rPr>
        <w:t> </w:t>
      </w:r>
      <w:r>
        <w:rPr/>
        <w:t>:</w:t>
      </w:r>
    </w:p>
    <w:p>
      <w:pPr>
        <w:pStyle w:val="BodyText"/>
        <w:spacing w:line="362" w:lineRule="auto" w:before="131"/>
        <w:ind w:left="1394" w:right="1992" w:firstLine="696"/>
      </w:pPr>
      <w:r>
        <w:rPr/>
        <w:t>Avec la pince stérile, une membrane est saisie par son bord extérieur puis déposée sur la face poreuse de l’appareil.</w:t>
      </w:r>
    </w:p>
    <w:p>
      <w:pPr>
        <w:pStyle w:val="BodyText"/>
        <w:spacing w:line="362" w:lineRule="auto" w:before="195"/>
        <w:ind w:left="675" w:right="1408" w:firstLine="59"/>
      </w:pPr>
      <w:r>
        <w:rPr/>
        <w:t>100 ml d’eau à analyser est versée dans l’entonnoir réservoir et sous l’action du vide s’écoule lentement.</w:t>
      </w:r>
    </w:p>
    <w:p>
      <w:pPr>
        <w:spacing w:after="0" w:line="362" w:lineRule="auto"/>
        <w:sectPr>
          <w:pgSz w:w="11900" w:h="16840"/>
          <w:pgMar w:header="727" w:footer="1061" w:top="1180" w:bottom="1260" w:left="740" w:right="0"/>
        </w:sectPr>
      </w:pPr>
    </w:p>
    <w:p>
      <w:pPr>
        <w:pStyle w:val="BodyText"/>
        <w:rPr>
          <w:sz w:val="16"/>
        </w:rPr>
      </w:pPr>
    </w:p>
    <w:p>
      <w:pPr>
        <w:pStyle w:val="BodyText"/>
        <w:spacing w:line="360" w:lineRule="auto" w:before="90"/>
        <w:ind w:left="675" w:right="1410" w:firstLine="707"/>
        <w:jc w:val="both"/>
      </w:pPr>
      <w:r>
        <w:rPr/>
        <w:t>Dès qu’elle parait sèche, la membrane est saisie par son extrême bord puis placée sur le milieu </w:t>
      </w:r>
      <w:r>
        <w:rPr>
          <w:spacing w:val="-3"/>
        </w:rPr>
        <w:t>de </w:t>
      </w:r>
      <w:r>
        <w:rPr/>
        <w:t>culture choisi. Cette méthode est analogue pour la recherche des Streptocoques fécaux et des Coliformes thermotolérants, seuls les milieux de culture qui différent. (Rodier, 2009).</w:t>
      </w:r>
    </w:p>
    <w:p>
      <w:pPr>
        <w:pStyle w:val="Heading4"/>
        <w:numPr>
          <w:ilvl w:val="2"/>
          <w:numId w:val="25"/>
        </w:numPr>
        <w:tabs>
          <w:tab w:pos="1431" w:val="left" w:leader="none"/>
        </w:tabs>
        <w:spacing w:line="240" w:lineRule="auto" w:before="203" w:after="0"/>
        <w:ind w:left="1430" w:right="0" w:hanging="755"/>
        <w:jc w:val="left"/>
      </w:pPr>
      <w:bookmarkStart w:name="_TOC_250026" w:id="55"/>
      <w:r>
        <w:rPr/>
        <w:t>Recherche des germes totaux</w:t>
      </w:r>
      <w:r>
        <w:rPr>
          <w:spacing w:val="-9"/>
        </w:rPr>
        <w:t> </w:t>
      </w:r>
      <w:bookmarkEnd w:id="55"/>
      <w:r>
        <w:rPr/>
        <w:t>:</w:t>
      </w:r>
    </w:p>
    <w:p>
      <w:pPr>
        <w:pStyle w:val="BodyText"/>
        <w:spacing w:before="2"/>
        <w:rPr>
          <w:b/>
          <w:sz w:val="29"/>
        </w:rPr>
      </w:pPr>
    </w:p>
    <w:p>
      <w:pPr>
        <w:pStyle w:val="BodyText"/>
        <w:spacing w:line="360" w:lineRule="auto"/>
        <w:ind w:left="675" w:right="1412" w:firstLine="359"/>
        <w:jc w:val="both"/>
      </w:pPr>
      <w:r>
        <w:rPr/>
        <w:t>Selon les normes internationales, les micro-organismes revivifiables se définie comme étant la totalité des bactéries, levures et moisissures capables de former des colonies dans ou sur le milieu de culture spécifié dans les conditions d’essai décrites. (Rodier, 2009).</w:t>
      </w:r>
    </w:p>
    <w:p>
      <w:pPr>
        <w:pStyle w:val="Heading4"/>
        <w:numPr>
          <w:ilvl w:val="3"/>
          <w:numId w:val="25"/>
        </w:numPr>
        <w:tabs>
          <w:tab w:pos="1394" w:val="left" w:leader="none"/>
          <w:tab w:pos="1395" w:val="left" w:leader="none"/>
        </w:tabs>
        <w:spacing w:line="240" w:lineRule="auto" w:before="201" w:after="0"/>
        <w:ind w:left="1394" w:right="0" w:hanging="359"/>
        <w:jc w:val="left"/>
      </w:pPr>
      <w:r>
        <w:rPr/>
        <w:t>Mode opératoire</w:t>
      </w:r>
      <w:r>
        <w:rPr>
          <w:spacing w:val="5"/>
        </w:rPr>
        <w:t> </w:t>
      </w:r>
      <w:r>
        <w:rPr/>
        <w:t>:</w:t>
      </w:r>
    </w:p>
    <w:p>
      <w:pPr>
        <w:pStyle w:val="BodyText"/>
        <w:spacing w:before="1"/>
        <w:rPr>
          <w:b/>
          <w:sz w:val="29"/>
        </w:rPr>
      </w:pPr>
    </w:p>
    <w:p>
      <w:pPr>
        <w:pStyle w:val="BodyText"/>
        <w:spacing w:line="362" w:lineRule="auto"/>
        <w:ind w:left="675" w:right="1423" w:firstLine="707"/>
        <w:jc w:val="both"/>
      </w:pPr>
      <w:r>
        <w:rPr/>
        <w:t>A partir de l’eau à analyser, porter 2 fois 1 ml dans deux boites de Pétri vides préparées à cet usage et numérotées (Figure</w:t>
      </w:r>
      <w:r>
        <w:rPr>
          <w:spacing w:val="-2"/>
        </w:rPr>
        <w:t> </w:t>
      </w:r>
      <w:r>
        <w:rPr/>
        <w:t>08).</w:t>
      </w:r>
    </w:p>
    <w:p>
      <w:pPr>
        <w:pStyle w:val="BodyText"/>
        <w:spacing w:line="362" w:lineRule="auto" w:before="194"/>
        <w:ind w:left="675" w:right="1416" w:firstLine="707"/>
        <w:jc w:val="both"/>
      </w:pPr>
      <w:r>
        <w:rPr/>
        <w:t>Compléter ensuite chacune des boites avec environ 15ml de gélose TGEA (annexe) et mélanger avec précaution en mouvement rotatoire puis laisser solidifier.</w:t>
      </w:r>
    </w:p>
    <w:p>
      <w:pPr>
        <w:pStyle w:val="BodyText"/>
        <w:rPr>
          <w:sz w:val="26"/>
        </w:rPr>
      </w:pPr>
    </w:p>
    <w:p>
      <w:pPr>
        <w:pStyle w:val="BodyText"/>
        <w:rPr>
          <w:sz w:val="26"/>
        </w:rPr>
      </w:pPr>
    </w:p>
    <w:p>
      <w:pPr>
        <w:pStyle w:val="Heading4"/>
        <w:numPr>
          <w:ilvl w:val="3"/>
          <w:numId w:val="25"/>
        </w:numPr>
        <w:tabs>
          <w:tab w:pos="1394" w:val="left" w:leader="none"/>
          <w:tab w:pos="1395" w:val="left" w:leader="none"/>
        </w:tabs>
        <w:spacing w:line="240" w:lineRule="auto" w:before="215" w:after="0"/>
        <w:ind w:left="1394" w:right="0" w:hanging="359"/>
        <w:jc w:val="left"/>
      </w:pPr>
      <w:r>
        <w:rPr/>
        <w:t>Incubation et lecture</w:t>
      </w:r>
      <w:r>
        <w:rPr>
          <w:spacing w:val="-3"/>
        </w:rPr>
        <w:t> </w:t>
      </w:r>
      <w:r>
        <w:rPr/>
        <w:t>:</w:t>
      </w:r>
    </w:p>
    <w:p>
      <w:pPr>
        <w:pStyle w:val="BodyText"/>
        <w:spacing w:before="9"/>
        <w:rPr>
          <w:b/>
          <w:sz w:val="28"/>
        </w:rPr>
      </w:pPr>
    </w:p>
    <w:p>
      <w:pPr>
        <w:pStyle w:val="BodyText"/>
        <w:spacing w:line="362" w:lineRule="auto"/>
        <w:ind w:left="675" w:right="1419" w:firstLine="707"/>
        <w:jc w:val="both"/>
      </w:pPr>
      <w:r>
        <w:rPr/>
        <w:t>Retourner les boites et incuber, une à </w:t>
      </w:r>
      <w:r>
        <w:rPr>
          <w:spacing w:val="-3"/>
        </w:rPr>
        <w:t>37 </w:t>
      </w:r>
      <w:r>
        <w:rPr/>
        <w:t>°C pendant 24 h à 48 h, l’autre à 22°C pendant 72 h. la lecture se fait après chaque</w:t>
      </w:r>
      <w:r>
        <w:rPr>
          <w:spacing w:val="-2"/>
        </w:rPr>
        <w:t> </w:t>
      </w:r>
      <w:r>
        <w:rPr/>
        <w:t>24h.</w:t>
      </w:r>
    </w:p>
    <w:p>
      <w:pPr>
        <w:pStyle w:val="BodyText"/>
        <w:spacing w:before="194"/>
        <w:ind w:left="675"/>
      </w:pPr>
      <w:r>
        <w:rPr/>
        <w:t>On calcule le nombre de colonies formées présentes dans un millilitre d’échantillon.</w:t>
      </w:r>
    </w:p>
    <w:p>
      <w:pPr>
        <w:pStyle w:val="BodyText"/>
        <w:spacing w:before="9"/>
        <w:rPr>
          <w:sz w:val="29"/>
        </w:rPr>
      </w:pPr>
    </w:p>
    <w:p>
      <w:pPr>
        <w:pStyle w:val="Heading4"/>
        <w:numPr>
          <w:ilvl w:val="3"/>
          <w:numId w:val="25"/>
        </w:numPr>
        <w:tabs>
          <w:tab w:pos="1394" w:val="left" w:leader="none"/>
          <w:tab w:pos="1395" w:val="left" w:leader="none"/>
        </w:tabs>
        <w:spacing w:line="240" w:lineRule="auto" w:before="0" w:after="0"/>
        <w:ind w:left="1394" w:right="0" w:hanging="359"/>
        <w:jc w:val="left"/>
      </w:pPr>
      <w:r>
        <w:rPr/>
        <w:t>Expression des</w:t>
      </w:r>
      <w:r>
        <w:rPr>
          <w:spacing w:val="-1"/>
        </w:rPr>
        <w:t> </w:t>
      </w:r>
      <w:r>
        <w:rPr/>
        <w:t>résultats:</w:t>
      </w:r>
    </w:p>
    <w:p>
      <w:pPr>
        <w:pStyle w:val="BodyText"/>
        <w:spacing w:before="1"/>
        <w:rPr>
          <w:b/>
          <w:sz w:val="29"/>
        </w:rPr>
      </w:pPr>
    </w:p>
    <w:p>
      <w:pPr>
        <w:pStyle w:val="BodyText"/>
        <w:spacing w:before="1"/>
        <w:ind w:left="1382"/>
      </w:pPr>
      <w:r>
        <w:rPr/>
        <w:t>Les résultats sont exprimés en nombre de germes par ml (Germes/1ml).</w:t>
      </w:r>
    </w:p>
    <w:p>
      <w:pPr>
        <w:spacing w:after="0"/>
        <w:sectPr>
          <w:pgSz w:w="11900" w:h="16840"/>
          <w:pgMar w:header="727" w:footer="1061" w:top="1180" w:bottom="1260" w:left="740" w:right="0"/>
        </w:sectPr>
      </w:pPr>
    </w:p>
    <w:p>
      <w:pPr>
        <w:pStyle w:val="BodyText"/>
        <w:spacing w:before="6"/>
        <w:rPr>
          <w:sz w:val="29"/>
        </w:rPr>
      </w:pPr>
    </w:p>
    <w:p>
      <w:pPr>
        <w:pStyle w:val="BodyText"/>
        <w:ind w:left="909"/>
        <w:rPr>
          <w:sz w:val="20"/>
        </w:rPr>
      </w:pPr>
      <w:r>
        <w:rPr>
          <w:sz w:val="20"/>
        </w:rPr>
        <w:drawing>
          <wp:inline distT="0" distB="0" distL="0" distR="0">
            <wp:extent cx="4526784" cy="5734050"/>
            <wp:effectExtent l="0" t="0" r="0" b="0"/>
            <wp:docPr id="31" name="image91.png" descr=""/>
            <wp:cNvGraphicFramePr>
              <a:graphicFrameLocks noChangeAspect="1"/>
            </wp:cNvGraphicFramePr>
            <a:graphic>
              <a:graphicData uri="http://schemas.openxmlformats.org/drawingml/2006/picture">
                <pic:pic>
                  <pic:nvPicPr>
                    <pic:cNvPr id="32" name="image91.png"/>
                    <pic:cNvPicPr/>
                  </pic:nvPicPr>
                  <pic:blipFill>
                    <a:blip r:embed="rId109" cstate="print"/>
                    <a:stretch>
                      <a:fillRect/>
                    </a:stretch>
                  </pic:blipFill>
                  <pic:spPr>
                    <a:xfrm>
                      <a:off x="0" y="0"/>
                      <a:ext cx="4526784" cy="5734050"/>
                    </a:xfrm>
                    <a:prstGeom prst="rect">
                      <a:avLst/>
                    </a:prstGeom>
                  </pic:spPr>
                </pic:pic>
              </a:graphicData>
            </a:graphic>
          </wp:inline>
        </w:drawing>
      </w:r>
      <w:r>
        <w:rPr>
          <w:sz w:val="20"/>
        </w:rPr>
      </w:r>
    </w:p>
    <w:p>
      <w:pPr>
        <w:pStyle w:val="BodyText"/>
        <w:spacing w:before="20"/>
        <w:ind w:left="1315"/>
      </w:pPr>
      <w:r>
        <w:rPr>
          <w:b/>
        </w:rPr>
        <w:t>Figure 08 : </w:t>
      </w:r>
      <w:r>
        <w:rPr/>
        <w:t>Recherche et dénombrement des germes totaux dans l’eau de source.</w:t>
      </w:r>
    </w:p>
    <w:p>
      <w:pPr>
        <w:pStyle w:val="BodyText"/>
        <w:rPr>
          <w:sz w:val="26"/>
        </w:rPr>
      </w:pPr>
    </w:p>
    <w:p>
      <w:pPr>
        <w:pStyle w:val="BodyText"/>
        <w:rPr>
          <w:sz w:val="26"/>
        </w:rPr>
      </w:pPr>
    </w:p>
    <w:p>
      <w:pPr>
        <w:pStyle w:val="BodyText"/>
        <w:spacing w:before="1"/>
        <w:rPr>
          <w:sz w:val="31"/>
        </w:rPr>
      </w:pPr>
    </w:p>
    <w:p>
      <w:pPr>
        <w:pStyle w:val="ListParagraph"/>
        <w:numPr>
          <w:ilvl w:val="2"/>
          <w:numId w:val="25"/>
        </w:numPr>
        <w:tabs>
          <w:tab w:pos="1431" w:val="left" w:leader="none"/>
        </w:tabs>
        <w:spacing w:line="240" w:lineRule="auto" w:before="0" w:after="0"/>
        <w:ind w:left="1430" w:right="0" w:hanging="755"/>
        <w:jc w:val="left"/>
        <w:rPr>
          <w:b/>
          <w:sz w:val="24"/>
        </w:rPr>
      </w:pPr>
      <w:r>
        <w:rPr>
          <w:b/>
          <w:sz w:val="24"/>
        </w:rPr>
        <w:t>La recherche des coliformes et d’</w:t>
      </w:r>
      <w:r>
        <w:rPr>
          <w:b/>
          <w:i/>
          <w:sz w:val="24"/>
        </w:rPr>
        <w:t>Escherichia coli</w:t>
      </w:r>
      <w:r>
        <w:rPr>
          <w:b/>
          <w:i/>
          <w:spacing w:val="5"/>
          <w:sz w:val="24"/>
        </w:rPr>
        <w:t> </w:t>
      </w:r>
      <w:r>
        <w:rPr>
          <w:b/>
          <w:sz w:val="24"/>
        </w:rPr>
        <w:t>:</w:t>
      </w:r>
    </w:p>
    <w:p>
      <w:pPr>
        <w:pStyle w:val="BodyText"/>
        <w:spacing w:before="5"/>
        <w:rPr>
          <w:b/>
          <w:sz w:val="29"/>
        </w:rPr>
      </w:pPr>
    </w:p>
    <w:p>
      <w:pPr>
        <w:pStyle w:val="Heading4"/>
        <w:numPr>
          <w:ilvl w:val="3"/>
          <w:numId w:val="25"/>
        </w:numPr>
        <w:tabs>
          <w:tab w:pos="1394" w:val="left" w:leader="none"/>
          <w:tab w:pos="1395" w:val="left" w:leader="none"/>
        </w:tabs>
        <w:spacing w:line="240" w:lineRule="auto" w:before="0" w:after="0"/>
        <w:ind w:left="1394" w:right="0" w:hanging="359"/>
        <w:jc w:val="left"/>
      </w:pPr>
      <w:r>
        <w:rPr/>
        <w:t>mode opératoire</w:t>
      </w:r>
      <w:r>
        <w:rPr>
          <w:spacing w:val="7"/>
        </w:rPr>
        <w:t> </w:t>
      </w:r>
      <w:r>
        <w:rPr/>
        <w:t>:</w:t>
      </w:r>
    </w:p>
    <w:p>
      <w:pPr>
        <w:pStyle w:val="BodyText"/>
        <w:spacing w:before="1"/>
        <w:rPr>
          <w:b/>
          <w:sz w:val="29"/>
        </w:rPr>
      </w:pPr>
    </w:p>
    <w:p>
      <w:pPr>
        <w:pStyle w:val="BodyText"/>
        <w:spacing w:line="357" w:lineRule="auto" w:before="1"/>
        <w:ind w:left="675" w:right="2095" w:firstLine="359"/>
      </w:pPr>
      <w:r>
        <w:rPr>
          <w:spacing w:val="-4"/>
        </w:rPr>
        <w:t>La</w:t>
      </w:r>
      <w:r>
        <w:rPr>
          <w:spacing w:val="52"/>
        </w:rPr>
        <w:t> </w:t>
      </w:r>
      <w:r>
        <w:rPr/>
        <w:t>recherche des bactéries coliformes par filtration sur membrane nécessite une préparation au préalable, qui se déroule selon les étapes suivantes :</w:t>
      </w:r>
    </w:p>
    <w:p>
      <w:pPr>
        <w:pStyle w:val="BodyText"/>
        <w:spacing w:line="357" w:lineRule="auto" w:before="205"/>
        <w:ind w:left="675" w:right="1450"/>
      </w:pPr>
      <w:r>
        <w:rPr/>
        <w:t>-stériliser l’entonnoir gradué en acier inoxydable ainsi que la membrane poreuse à l’aide de bec Bunsen.</w:t>
      </w:r>
    </w:p>
    <w:p>
      <w:pPr>
        <w:spacing w:after="0" w:line="357" w:lineRule="auto"/>
        <w:sectPr>
          <w:pgSz w:w="11900" w:h="16840"/>
          <w:pgMar w:header="727" w:footer="1061" w:top="1180" w:bottom="1260" w:left="740" w:right="0"/>
        </w:sectPr>
      </w:pPr>
    </w:p>
    <w:p>
      <w:pPr>
        <w:pStyle w:val="BodyText"/>
        <w:rPr>
          <w:sz w:val="16"/>
        </w:rPr>
      </w:pPr>
    </w:p>
    <w:p>
      <w:pPr>
        <w:pStyle w:val="BodyText"/>
        <w:spacing w:line="362" w:lineRule="auto" w:before="90"/>
        <w:ind w:left="675" w:right="1797"/>
      </w:pPr>
      <w:r>
        <w:rPr/>
        <w:t>-Mettre en place de façon aseptique une membrane de porosité nominale de 0,45μ entre la membrane poreuse et l’entonnoir à l’aide d’une pince stérile.</w:t>
      </w:r>
    </w:p>
    <w:p>
      <w:pPr>
        <w:pStyle w:val="BodyText"/>
        <w:spacing w:before="193"/>
        <w:ind w:left="675"/>
      </w:pPr>
      <w:r>
        <w:rPr/>
        <w:t>-Fixer ce dispositif avec la pince correspondante.</w:t>
      </w:r>
    </w:p>
    <w:p>
      <w:pPr>
        <w:pStyle w:val="BodyText"/>
        <w:spacing w:before="7"/>
        <w:rPr>
          <w:sz w:val="29"/>
        </w:rPr>
      </w:pPr>
    </w:p>
    <w:p>
      <w:pPr>
        <w:pStyle w:val="BodyText"/>
        <w:ind w:left="675"/>
      </w:pPr>
      <w:r>
        <w:rPr/>
        <w:t>-déposer ensuite aseptiquement 100 ml d’eau à analyser, devant un bec Bunsen.</w:t>
      </w:r>
    </w:p>
    <w:p>
      <w:pPr>
        <w:pStyle w:val="BodyText"/>
        <w:spacing w:before="2"/>
        <w:rPr>
          <w:sz w:val="29"/>
        </w:rPr>
      </w:pPr>
    </w:p>
    <w:p>
      <w:pPr>
        <w:pStyle w:val="BodyText"/>
        <w:ind w:left="675"/>
      </w:pPr>
      <w:r>
        <w:rPr/>
        <w:t>-Actionner ensuite la pompe à vide pour absorber l’eau à travers la membrane.</w:t>
      </w:r>
    </w:p>
    <w:p>
      <w:pPr>
        <w:pStyle w:val="BodyText"/>
        <w:spacing w:before="6"/>
        <w:rPr>
          <w:sz w:val="29"/>
        </w:rPr>
      </w:pPr>
    </w:p>
    <w:p>
      <w:pPr>
        <w:pStyle w:val="BodyText"/>
        <w:spacing w:line="357" w:lineRule="auto" w:before="1"/>
        <w:ind w:left="675" w:right="1797"/>
      </w:pPr>
      <w:r>
        <w:rPr/>
        <w:t>-Retirer l’entonnoir puis transférer immédiatement et aseptiquement la membrane à l’aide d’une pince stérile sur une gélose sélective (Milieu Endo).</w:t>
      </w:r>
    </w:p>
    <w:p>
      <w:pPr>
        <w:pStyle w:val="BodyText"/>
        <w:spacing w:before="205"/>
        <w:ind w:left="675"/>
      </w:pPr>
      <w:r>
        <w:rPr/>
        <w:t>Cette dernière sera incubée dans l’étuve à 37°C pendant 24 h. (ISO 9308-1).</w:t>
      </w:r>
    </w:p>
    <w:p>
      <w:pPr>
        <w:pStyle w:val="BodyText"/>
        <w:spacing w:before="5"/>
        <w:rPr>
          <w:sz w:val="29"/>
        </w:rPr>
      </w:pPr>
    </w:p>
    <w:p>
      <w:pPr>
        <w:pStyle w:val="Heading4"/>
        <w:numPr>
          <w:ilvl w:val="3"/>
          <w:numId w:val="25"/>
        </w:numPr>
        <w:tabs>
          <w:tab w:pos="1394" w:val="left" w:leader="none"/>
          <w:tab w:pos="1395" w:val="left" w:leader="none"/>
        </w:tabs>
        <w:spacing w:line="240" w:lineRule="auto" w:before="0" w:after="0"/>
        <w:ind w:left="1394" w:right="0" w:hanging="359"/>
        <w:jc w:val="left"/>
      </w:pPr>
      <w:r>
        <w:rPr/>
        <w:t>Test confirmatif</w:t>
      </w:r>
      <w:r>
        <w:rPr>
          <w:spacing w:val="-1"/>
        </w:rPr>
        <w:t> </w:t>
      </w:r>
      <w:r>
        <w:rPr/>
        <w:t>:</w:t>
      </w:r>
    </w:p>
    <w:p>
      <w:pPr>
        <w:pStyle w:val="BodyText"/>
        <w:spacing w:before="1"/>
        <w:rPr>
          <w:b/>
          <w:sz w:val="29"/>
        </w:rPr>
      </w:pPr>
    </w:p>
    <w:p>
      <w:pPr>
        <w:pStyle w:val="BodyText"/>
        <w:ind w:left="675"/>
      </w:pPr>
      <w:r>
        <w:rPr/>
        <w:t>-Après la période d’incubation spécifié.</w:t>
      </w:r>
    </w:p>
    <w:p>
      <w:pPr>
        <w:pStyle w:val="BodyText"/>
        <w:spacing w:before="7"/>
        <w:rPr>
          <w:sz w:val="29"/>
        </w:rPr>
      </w:pPr>
    </w:p>
    <w:p>
      <w:pPr>
        <w:pStyle w:val="BodyText"/>
        <w:ind w:left="675"/>
      </w:pPr>
      <w:r>
        <w:rPr/>
        <w:t>-Repiquer de 1 à 2 colonies de même caractère sur un autre milieu Schubert (voir l’annexe).</w:t>
      </w:r>
    </w:p>
    <w:p>
      <w:pPr>
        <w:pStyle w:val="BodyText"/>
        <w:spacing w:before="2"/>
        <w:rPr>
          <w:sz w:val="29"/>
        </w:rPr>
      </w:pPr>
    </w:p>
    <w:p>
      <w:pPr>
        <w:pStyle w:val="BodyText"/>
        <w:ind w:left="675"/>
      </w:pPr>
      <w:r>
        <w:rPr/>
        <w:t>-Incuber à 44°C pendant 24 heures.</w:t>
      </w:r>
    </w:p>
    <w:p>
      <w:pPr>
        <w:pStyle w:val="BodyText"/>
        <w:spacing w:before="6"/>
        <w:rPr>
          <w:sz w:val="29"/>
        </w:rPr>
      </w:pPr>
    </w:p>
    <w:p>
      <w:pPr>
        <w:pStyle w:val="BodyText"/>
        <w:spacing w:line="357" w:lineRule="auto"/>
        <w:ind w:left="675" w:right="1450"/>
      </w:pPr>
      <w:r>
        <w:rPr/>
        <w:t>Puis rechercher la production d’indole on ajoutant 2 à 3 gouttes de réactif Kovacs. (Dellaras, 2000).</w:t>
      </w:r>
    </w:p>
    <w:p>
      <w:pPr>
        <w:pStyle w:val="Heading4"/>
        <w:numPr>
          <w:ilvl w:val="2"/>
          <w:numId w:val="25"/>
        </w:numPr>
        <w:tabs>
          <w:tab w:pos="1431" w:val="left" w:leader="none"/>
        </w:tabs>
        <w:spacing w:line="240" w:lineRule="auto" w:before="210" w:after="0"/>
        <w:ind w:left="1430" w:right="0" w:hanging="755"/>
        <w:jc w:val="left"/>
      </w:pPr>
      <w:bookmarkStart w:name="_TOC_250025" w:id="56"/>
      <w:r>
        <w:rPr/>
        <w:t>La recherche des streptocoques</w:t>
      </w:r>
      <w:r>
        <w:rPr>
          <w:spacing w:val="-1"/>
        </w:rPr>
        <w:t> </w:t>
      </w:r>
      <w:bookmarkEnd w:id="56"/>
      <w:r>
        <w:rPr/>
        <w:t>:</w:t>
      </w:r>
    </w:p>
    <w:p>
      <w:pPr>
        <w:pStyle w:val="BodyText"/>
        <w:rPr>
          <w:b/>
          <w:sz w:val="29"/>
        </w:rPr>
      </w:pPr>
    </w:p>
    <w:p>
      <w:pPr>
        <w:pStyle w:val="ListParagraph"/>
        <w:numPr>
          <w:ilvl w:val="3"/>
          <w:numId w:val="25"/>
        </w:numPr>
        <w:tabs>
          <w:tab w:pos="1394" w:val="left" w:leader="none"/>
          <w:tab w:pos="1395" w:val="left" w:leader="none"/>
        </w:tabs>
        <w:spacing w:line="240" w:lineRule="auto" w:before="0" w:after="0"/>
        <w:ind w:left="1394" w:right="0" w:hanging="359"/>
        <w:jc w:val="left"/>
        <w:rPr>
          <w:b/>
          <w:sz w:val="24"/>
        </w:rPr>
      </w:pPr>
      <w:r>
        <w:rPr>
          <w:b/>
          <w:sz w:val="24"/>
        </w:rPr>
        <w:t>Mode opératoire</w:t>
      </w:r>
      <w:r>
        <w:rPr>
          <w:b/>
          <w:spacing w:val="7"/>
          <w:sz w:val="24"/>
        </w:rPr>
        <w:t> </w:t>
      </w:r>
      <w:r>
        <w:rPr>
          <w:b/>
          <w:sz w:val="24"/>
        </w:rPr>
        <w:t>:</w:t>
      </w:r>
    </w:p>
    <w:p>
      <w:pPr>
        <w:pStyle w:val="BodyText"/>
        <w:spacing w:before="2"/>
        <w:rPr>
          <w:b/>
          <w:sz w:val="29"/>
        </w:rPr>
      </w:pPr>
    </w:p>
    <w:p>
      <w:pPr>
        <w:pStyle w:val="BodyText"/>
        <w:spacing w:line="360" w:lineRule="auto"/>
        <w:ind w:left="675" w:right="1413" w:firstLine="707"/>
        <w:jc w:val="both"/>
      </w:pPr>
      <w:r>
        <w:rPr/>
        <w:t>La même méthode que les coliformes sauf le milieu qui change (Milieu Slanetz et Bartly) (voir l’annexe).Après la période d’incubation spécifiée, la confirmation se fait sur un milieu solide «BEA » ensuite incuber à 37°C pendant 12 heures pour avoir un noircissement. Dans notre cas on va transférer à l’aide d’une anse de platine stérile une colonie dans un tube EvaLitsky (voir l’annexe), et enfin incuber à 37°C pendant 24 heures (Photo 07). (ISO7899 et NFT 90-416).</w:t>
      </w:r>
    </w:p>
    <w:p>
      <w:pPr>
        <w:spacing w:after="0" w:line="360" w:lineRule="auto"/>
        <w:jc w:val="both"/>
        <w:sectPr>
          <w:pgSz w:w="11900" w:h="16840"/>
          <w:pgMar w:header="727" w:footer="1061" w:top="1180" w:bottom="1260" w:left="740" w:right="0"/>
        </w:sectPr>
      </w:pPr>
    </w:p>
    <w:p>
      <w:pPr>
        <w:pStyle w:val="BodyText"/>
        <w:spacing w:before="6"/>
        <w:rPr>
          <w:sz w:val="22"/>
        </w:rPr>
      </w:pPr>
    </w:p>
    <w:p>
      <w:pPr>
        <w:pStyle w:val="BodyText"/>
        <w:ind w:left="2699"/>
        <w:rPr>
          <w:sz w:val="20"/>
        </w:rPr>
      </w:pPr>
      <w:r>
        <w:rPr>
          <w:sz w:val="20"/>
        </w:rPr>
        <w:pict>
          <v:group style="width:237.65pt;height:140.15pt;mso-position-horizontal-relative:char;mso-position-vertical-relative:line" coordorigin="0,0" coordsize="4753,2803">
            <v:shape style="position:absolute;left:0;top:0;width:4753;height:2803" type="#_x0000_t75" stroked="false">
              <v:imagedata r:id="rId110" o:title=""/>
            </v:shape>
            <v:shape style="position:absolute;left:100;top:99;width:4466;height:2516" type="#_x0000_t75" stroked="false">
              <v:imagedata r:id="rId111" o:title=""/>
            </v:shape>
            <v:rect style="position:absolute;left:70;top:69;width:4526;height:2576" filled="false" stroked="true" strokeweight="2.997985pt" strokecolor="#000000">
              <v:stroke dashstyle="solid"/>
            </v:rect>
          </v:group>
        </w:pict>
      </w:r>
      <w:r>
        <w:rPr>
          <w:sz w:val="20"/>
        </w:rPr>
      </w:r>
    </w:p>
    <w:p>
      <w:pPr>
        <w:pStyle w:val="BodyText"/>
        <w:rPr>
          <w:sz w:val="15"/>
        </w:rPr>
      </w:pPr>
    </w:p>
    <w:p>
      <w:pPr>
        <w:pStyle w:val="BodyText"/>
        <w:spacing w:before="90"/>
        <w:ind w:left="2398"/>
      </w:pPr>
      <w:r>
        <w:rPr>
          <w:b/>
        </w:rPr>
        <w:t>Photo 07 : </w:t>
      </w:r>
      <w:r>
        <w:rPr/>
        <w:t>recherche et dénombrement des Streptocoques.</w:t>
      </w:r>
    </w:p>
    <w:p>
      <w:pPr>
        <w:pStyle w:val="BodyText"/>
        <w:spacing w:before="6"/>
        <w:rPr>
          <w:sz w:val="29"/>
        </w:rPr>
      </w:pPr>
    </w:p>
    <w:p>
      <w:pPr>
        <w:pStyle w:val="Heading4"/>
        <w:numPr>
          <w:ilvl w:val="2"/>
          <w:numId w:val="25"/>
        </w:numPr>
        <w:tabs>
          <w:tab w:pos="1431" w:val="left" w:leader="none"/>
        </w:tabs>
        <w:spacing w:line="240" w:lineRule="auto" w:before="1" w:after="0"/>
        <w:ind w:left="1430" w:right="0" w:hanging="755"/>
        <w:jc w:val="both"/>
      </w:pPr>
      <w:bookmarkStart w:name="_TOC_250024" w:id="57"/>
      <w:r>
        <w:rPr/>
        <w:t>La recherche des clostridium sulfuto-réducteurs (les ASR)</w:t>
      </w:r>
      <w:r>
        <w:rPr>
          <w:spacing w:val="-6"/>
        </w:rPr>
        <w:t> </w:t>
      </w:r>
      <w:bookmarkEnd w:id="57"/>
      <w:r>
        <w:rPr/>
        <w:t>:</w:t>
      </w:r>
    </w:p>
    <w:p>
      <w:pPr>
        <w:pStyle w:val="BodyText"/>
        <w:spacing w:before="4"/>
        <w:rPr>
          <w:b/>
          <w:sz w:val="29"/>
        </w:rPr>
      </w:pPr>
    </w:p>
    <w:p>
      <w:pPr>
        <w:pStyle w:val="ListParagraph"/>
        <w:numPr>
          <w:ilvl w:val="3"/>
          <w:numId w:val="25"/>
        </w:numPr>
        <w:tabs>
          <w:tab w:pos="1394" w:val="left" w:leader="none"/>
          <w:tab w:pos="1395" w:val="left" w:leader="none"/>
        </w:tabs>
        <w:spacing w:line="240" w:lineRule="auto" w:before="1" w:after="0"/>
        <w:ind w:left="1394" w:right="0" w:hanging="359"/>
        <w:jc w:val="left"/>
        <w:rPr>
          <w:b/>
          <w:sz w:val="24"/>
        </w:rPr>
      </w:pPr>
      <w:r>
        <w:rPr>
          <w:b/>
          <w:sz w:val="24"/>
        </w:rPr>
        <w:t>Mode opératoire</w:t>
      </w:r>
      <w:r>
        <w:rPr>
          <w:b/>
          <w:spacing w:val="7"/>
          <w:sz w:val="24"/>
        </w:rPr>
        <w:t> </w:t>
      </w:r>
      <w:r>
        <w:rPr>
          <w:b/>
          <w:sz w:val="24"/>
        </w:rPr>
        <w:t>:</w:t>
      </w:r>
    </w:p>
    <w:p>
      <w:pPr>
        <w:pStyle w:val="BodyText"/>
        <w:spacing w:before="1"/>
        <w:rPr>
          <w:b/>
          <w:sz w:val="29"/>
        </w:rPr>
      </w:pPr>
    </w:p>
    <w:p>
      <w:pPr>
        <w:pStyle w:val="BodyText"/>
        <w:ind w:left="675"/>
        <w:jc w:val="both"/>
      </w:pPr>
      <w:r>
        <w:rPr/>
        <w:t>-Transférer environ 20 ml d’eau dans un tube stérile.</w:t>
      </w:r>
    </w:p>
    <w:p>
      <w:pPr>
        <w:pStyle w:val="BodyText"/>
        <w:spacing w:before="2"/>
        <w:rPr>
          <w:sz w:val="29"/>
        </w:rPr>
      </w:pPr>
    </w:p>
    <w:p>
      <w:pPr>
        <w:pStyle w:val="BodyText"/>
        <w:spacing w:line="360" w:lineRule="auto"/>
        <w:ind w:left="675" w:right="1412"/>
        <w:jc w:val="both"/>
      </w:pPr>
      <w:r>
        <w:rPr/>
        <w:t>-Mettre le tube de l’eau à analyser à un chauffage de l’ordre de 80°C pendant 15 minutes, dans le but </w:t>
      </w:r>
      <w:r>
        <w:rPr>
          <w:spacing w:val="-3"/>
        </w:rPr>
        <w:t>de </w:t>
      </w:r>
      <w:r>
        <w:rPr/>
        <w:t>détruire toutes les formes végétatives éventuellement présentes et favoriser la sporulation.</w:t>
      </w:r>
    </w:p>
    <w:p>
      <w:pPr>
        <w:pStyle w:val="BodyText"/>
        <w:spacing w:before="202"/>
        <w:ind w:left="675"/>
      </w:pPr>
      <w:r>
        <w:rPr/>
        <w:t>-Après chauffage, refroidir immédiatement le tube destiné à l’analyse, sous l’eau de robinet.</w:t>
      </w:r>
    </w:p>
    <w:p>
      <w:pPr>
        <w:pStyle w:val="BodyText"/>
        <w:spacing w:before="2"/>
        <w:rPr>
          <w:sz w:val="29"/>
        </w:rPr>
      </w:pPr>
    </w:p>
    <w:p>
      <w:pPr>
        <w:pStyle w:val="BodyText"/>
        <w:spacing w:line="362" w:lineRule="auto"/>
        <w:ind w:left="675" w:right="1408"/>
      </w:pPr>
      <w:r>
        <w:rPr/>
        <w:t>-Répartir ensuite le contenu du tube à analyser, dans 4 tubes différents et stériles, à raison de 5 ml par tube.</w:t>
      </w:r>
    </w:p>
    <w:p>
      <w:pPr>
        <w:pStyle w:val="BodyText"/>
        <w:spacing w:line="362" w:lineRule="auto" w:before="194"/>
        <w:ind w:left="675" w:right="1450"/>
      </w:pPr>
      <w:r>
        <w:rPr/>
        <w:t>-Ajouter environ 18 à 20 ml de gélose Viande Foie, additionnée de leurs additifs spécifiques (alun de fer, sulfute de sodium).</w:t>
      </w:r>
    </w:p>
    <w:p>
      <w:pPr>
        <w:pStyle w:val="BodyText"/>
        <w:spacing w:before="194"/>
        <w:ind w:left="675"/>
      </w:pPr>
      <w:r>
        <w:rPr/>
        <w:t>-Mélanger doucement le milieu et l’inoculum en évitant d’introduire des bulles d’air.</w:t>
      </w:r>
    </w:p>
    <w:p>
      <w:pPr>
        <w:pStyle w:val="BodyText"/>
        <w:spacing w:before="6"/>
        <w:rPr>
          <w:sz w:val="29"/>
        </w:rPr>
      </w:pPr>
    </w:p>
    <w:p>
      <w:pPr>
        <w:pStyle w:val="BodyText"/>
        <w:spacing w:line="357" w:lineRule="auto" w:before="1"/>
        <w:ind w:left="675" w:right="1450"/>
      </w:pPr>
      <w:r>
        <w:rPr/>
        <w:t>Laisser solidifier sur paillasse pendant 30 minutes environ, puis incuber à 37°C, pendant 24 à 48 heures dont la première lecture s’effectue après 16 heures (Photo 08). (NFT 90-415).</w:t>
      </w:r>
    </w:p>
    <w:p>
      <w:pPr>
        <w:spacing w:after="0" w:line="357" w:lineRule="auto"/>
        <w:sectPr>
          <w:pgSz w:w="11900" w:h="16840"/>
          <w:pgMar w:header="727" w:footer="1061" w:top="1180" w:bottom="1260" w:left="740" w:right="0"/>
        </w:sectPr>
      </w:pPr>
    </w:p>
    <w:p>
      <w:pPr>
        <w:pStyle w:val="BodyText"/>
        <w:spacing w:before="6"/>
        <w:rPr>
          <w:sz w:val="22"/>
        </w:rPr>
      </w:pPr>
    </w:p>
    <w:p>
      <w:pPr>
        <w:pStyle w:val="BodyText"/>
        <w:ind w:left="2727"/>
        <w:rPr>
          <w:sz w:val="20"/>
        </w:rPr>
      </w:pPr>
      <w:r>
        <w:rPr>
          <w:sz w:val="20"/>
        </w:rPr>
        <w:pict>
          <v:group style="width:245.05pt;height:190.5pt;mso-position-horizontal-relative:char;mso-position-vertical-relative:line" coordorigin="0,0" coordsize="4901,3810">
            <v:shape style="position:absolute;left:0;top:0;width:4901;height:3810" type="#_x0000_t75" stroked="false">
              <v:imagedata r:id="rId112" o:title=""/>
            </v:shape>
            <v:shape style="position:absolute;left:102;top:99;width:4611;height:3523" type="#_x0000_t75" stroked="false">
              <v:imagedata r:id="rId113" o:title=""/>
            </v:shape>
            <v:rect style="position:absolute;left:72;top:69;width:4671;height:3583" filled="false" stroked="true" strokeweight="2.997985pt" strokecolor="#000000">
              <v:stroke dashstyle="solid"/>
            </v:rect>
          </v:group>
        </w:pict>
      </w:r>
      <w:r>
        <w:rPr>
          <w:sz w:val="20"/>
        </w:rPr>
      </w:r>
    </w:p>
    <w:p>
      <w:pPr>
        <w:pStyle w:val="BodyText"/>
        <w:spacing w:before="7"/>
        <w:rPr>
          <w:sz w:val="7"/>
        </w:rPr>
      </w:pPr>
    </w:p>
    <w:p>
      <w:pPr>
        <w:spacing w:before="90"/>
        <w:ind w:left="2834" w:right="0" w:firstLine="0"/>
        <w:jc w:val="left"/>
        <w:rPr>
          <w:sz w:val="24"/>
        </w:rPr>
      </w:pPr>
      <w:r>
        <w:rPr>
          <w:b/>
          <w:sz w:val="24"/>
        </w:rPr>
        <w:t>Photo </w:t>
      </w:r>
      <w:r>
        <w:rPr>
          <w:b/>
          <w:color w:val="242424"/>
          <w:sz w:val="24"/>
        </w:rPr>
        <w:t>08: </w:t>
      </w:r>
      <w:r>
        <w:rPr>
          <w:color w:val="242424"/>
          <w:sz w:val="24"/>
        </w:rPr>
        <w:t>Recherche et dénombrement des ASR.</w:t>
      </w:r>
    </w:p>
    <w:p>
      <w:pPr>
        <w:spacing w:after="0"/>
        <w:jc w:val="left"/>
        <w:rPr>
          <w:sz w:val="24"/>
        </w:rPr>
        <w:sectPr>
          <w:pgSz w:w="11900" w:h="16840"/>
          <w:pgMar w:header="727" w:footer="1061" w:top="1180" w:bottom="1260" w:left="74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pPr>
    </w:p>
    <w:p>
      <w:pPr>
        <w:pStyle w:val="Heading2"/>
        <w:spacing w:line="300" w:lineRule="auto" w:before="100"/>
        <w:ind w:left="600" w:right="1338"/>
        <w:jc w:val="center"/>
      </w:pPr>
      <w:r>
        <w:rPr>
          <w:color w:val="8063A1"/>
        </w:rPr>
        <w:t>Chapitre </w:t>
      </w:r>
      <w:r>
        <w:rPr>
          <w:b w:val="0"/>
          <w:i w:val="0"/>
          <w:color w:val="8063A1"/>
          <w:sz w:val="144"/>
        </w:rPr>
        <w:t>IV</w:t>
      </w:r>
      <w:r>
        <w:rPr>
          <w:color w:val="8063A1"/>
        </w:rPr>
        <w:t>: Résultats</w:t>
      </w:r>
    </w:p>
    <w:p>
      <w:pPr>
        <w:spacing w:line="312" w:lineRule="auto" w:before="72"/>
        <w:ind w:left="2510" w:right="3257" w:firstLine="10"/>
        <w:jc w:val="center"/>
        <w:rPr>
          <w:rFonts w:ascii="Lucida Calligraphy"/>
          <w:b/>
          <w:i/>
          <w:sz w:val="96"/>
        </w:rPr>
      </w:pPr>
      <w:r>
        <w:rPr>
          <w:rFonts w:ascii="Lucida Calligraphy"/>
          <w:b/>
          <w:i/>
          <w:color w:val="8063A1"/>
          <w:sz w:val="96"/>
        </w:rPr>
        <w:t>Et    </w:t>
      </w:r>
      <w:r>
        <w:rPr>
          <w:rFonts w:ascii="Lucida Calligraphy"/>
          <w:b/>
          <w:i/>
          <w:color w:val="8063A1"/>
          <w:spacing w:val="-1"/>
          <w:sz w:val="96"/>
        </w:rPr>
        <w:t>Discussion</w:t>
      </w:r>
    </w:p>
    <w:p>
      <w:pPr>
        <w:spacing w:after="0" w:line="312" w:lineRule="auto"/>
        <w:jc w:val="center"/>
        <w:rPr>
          <w:rFonts w:ascii="Lucida Calligraphy"/>
          <w:sz w:val="96"/>
        </w:rPr>
        <w:sectPr>
          <w:headerReference w:type="default" r:id="rId114"/>
          <w:footerReference w:type="default" r:id="rId115"/>
          <w:pgSz w:w="11900" w:h="16840"/>
          <w:pgMar w:header="0" w:footer="0" w:top="1600" w:bottom="280" w:left="740" w:right="0"/>
          <w:pgBorders w:offsetFrom="page">
            <w:top w:val="single" w:color="000000" w:space="24" w:sz="36"/>
            <w:left w:val="single" w:color="000000" w:space="24" w:sz="36"/>
            <w:bottom w:val="single" w:color="000000" w:space="24" w:sz="36"/>
            <w:right w:val="single" w:color="000000" w:space="23" w:sz="36"/>
          </w:pgBorders>
        </w:sectPr>
      </w:pPr>
    </w:p>
    <w:p>
      <w:pPr>
        <w:pStyle w:val="BodyText"/>
        <w:spacing w:before="11"/>
        <w:rPr>
          <w:rFonts w:ascii="Lucida Calligraphy"/>
          <w:b/>
          <w:i/>
          <w:sz w:val="13"/>
        </w:rPr>
      </w:pPr>
    </w:p>
    <w:p>
      <w:pPr>
        <w:pStyle w:val="Heading4"/>
        <w:numPr>
          <w:ilvl w:val="1"/>
          <w:numId w:val="26"/>
        </w:numPr>
        <w:tabs>
          <w:tab w:pos="1181" w:val="left" w:leader="none"/>
        </w:tabs>
        <w:spacing w:line="240" w:lineRule="auto" w:before="90" w:after="0"/>
        <w:ind w:left="1180" w:right="0" w:hanging="505"/>
        <w:jc w:val="left"/>
      </w:pPr>
      <w:bookmarkStart w:name="_TOC_250023" w:id="58"/>
      <w:r>
        <w:rPr/>
        <w:t>Les analyses physico-chimiques</w:t>
      </w:r>
      <w:r>
        <w:rPr>
          <w:spacing w:val="-6"/>
        </w:rPr>
        <w:t> </w:t>
      </w:r>
      <w:bookmarkEnd w:id="58"/>
      <w:r>
        <w:rPr/>
        <w:t>:</w:t>
      </w:r>
    </w:p>
    <w:p>
      <w:pPr>
        <w:pStyle w:val="BodyText"/>
        <w:spacing w:before="2"/>
        <w:rPr>
          <w:b/>
          <w:sz w:val="21"/>
        </w:rPr>
      </w:pPr>
    </w:p>
    <w:p>
      <w:pPr>
        <w:pStyle w:val="ListParagraph"/>
        <w:numPr>
          <w:ilvl w:val="2"/>
          <w:numId w:val="26"/>
        </w:numPr>
        <w:tabs>
          <w:tab w:pos="1420" w:val="left" w:leader="none"/>
        </w:tabs>
        <w:spacing w:line="240" w:lineRule="auto" w:before="0" w:after="0"/>
        <w:ind w:left="1419" w:right="0" w:hanging="744"/>
        <w:jc w:val="left"/>
        <w:rPr>
          <w:b/>
          <w:sz w:val="24"/>
        </w:rPr>
      </w:pPr>
      <w:bookmarkStart w:name="_TOC_250022" w:id="59"/>
      <w:bookmarkEnd w:id="59"/>
      <w:r>
        <w:rPr>
          <w:b/>
          <w:sz w:val="24"/>
        </w:rPr>
        <w:t>La température :</w:t>
      </w:r>
    </w:p>
    <w:p>
      <w:pPr>
        <w:pStyle w:val="BodyText"/>
        <w:spacing w:before="6"/>
        <w:rPr>
          <w:b/>
          <w:sz w:val="20"/>
        </w:rPr>
      </w:pPr>
    </w:p>
    <w:p>
      <w:pPr>
        <w:pStyle w:val="BodyText"/>
        <w:spacing w:line="276" w:lineRule="auto"/>
        <w:ind w:left="675" w:right="1416"/>
        <w:jc w:val="both"/>
      </w:pPr>
      <w:r>
        <w:rPr/>
        <w:t>Les résultats représentés dans la figure ci-dessous montrent la variation des températures entre 16.4°C enregistrée pour l’échantillon d’eau de SAG durant le mois de février et 22.3°C en mois d’avril pour le même échantillon.</w:t>
      </w:r>
    </w:p>
    <w:p>
      <w:pPr>
        <w:pStyle w:val="BodyText"/>
        <w:spacing w:line="273" w:lineRule="auto" w:before="199"/>
        <w:ind w:left="675" w:right="1450" w:firstLine="659"/>
      </w:pPr>
      <w:r>
        <w:rPr/>
        <w:pict>
          <v:group style="position:absolute;margin-left:71.850334pt;margin-top:73.517891pt;width:419.5pt;height:217pt;mso-position-horizontal-relative:page;mso-position-vertical-relative:paragraph;z-index:2776" coordorigin="1437,1470" coordsize="8390,4340">
            <v:shape style="position:absolute;left:2568;top:1711;width:5814;height:3015" type="#_x0000_t75" stroked="false">
              <v:imagedata r:id="rId118" o:title=""/>
            </v:shape>
            <v:shape style="position:absolute;left:2543;top:1896;width:5608;height:2857" coordorigin="2543,1896" coordsize="5608,2857" path="m2604,4695l2541,4695m2604,4135l2541,4135m2604,3579l2541,3579m2604,3019l2541,3019m2604,2460l2541,2460m2604,1904l2541,1904m2605,4694l2605,4759m3529,4694l3529,4759m4452,4694l4452,4759m5375,4694l5375,4759m6299,4694l6299,4759m7222,4694l7222,4759m8145,4694l8145,4759e" filled="false" stroked="true" strokeweight=".999328pt" strokecolor="#858585">
              <v:path arrowok="t"/>
              <v:stroke dashstyle="solid"/>
            </v:shape>
            <v:rect style="position:absolute;left:3415;top:1873;width:110;height:110" filled="true" fillcolor="#4f81bc" stroked="false">
              <v:fill type="solid"/>
            </v:rect>
            <v:rect style="position:absolute;left:5545;top:1873;width:110;height:110" filled="true" fillcolor="#c0504d" stroked="false">
              <v:fill type="solid"/>
            </v:rect>
            <v:rect style="position:absolute;left:7523;top:1873;width:110;height:110" filled="true" fillcolor="#9bba58" stroked="false">
              <v:fill type="solid"/>
            </v:rect>
            <v:rect style="position:absolute;left:1446;top:1488;width:8365;height:4318" filled="false" stroked="true" strokeweight=".999328pt" strokecolor="#858585">
              <v:stroke dashstyle="solid"/>
            </v:rect>
            <v:shape style="position:absolute;left:5053;top:5323;width:667;height:200" type="#_x0000_t202" filled="false" stroked="false">
              <v:textbox inset="0,0,0,0">
                <w:txbxContent>
                  <w:p>
                    <w:pPr>
                      <w:spacing w:line="200" w:lineRule="exact" w:before="0"/>
                      <w:ind w:left="0" w:right="0" w:firstLine="0"/>
                      <w:jc w:val="left"/>
                      <w:rPr>
                        <w:rFonts w:ascii="Calibri"/>
                        <w:b/>
                        <w:sz w:val="20"/>
                      </w:rPr>
                    </w:pPr>
                    <w:r>
                      <w:rPr>
                        <w:rFonts w:ascii="Calibri"/>
                        <w:b/>
                        <w:sz w:val="20"/>
                      </w:rPr>
                      <w:t>Sources</w:t>
                    </w:r>
                  </w:p>
                </w:txbxContent>
              </v:textbox>
              <w10:wrap type="none"/>
            </v:shape>
            <v:shape style="position:absolute;left:7520;top:4925;width:346;height:200" type="#_x0000_t202" filled="false" stroked="false">
              <v:textbox inset="0,0,0,0">
                <w:txbxContent>
                  <w:p>
                    <w:pPr>
                      <w:spacing w:line="200" w:lineRule="exact" w:before="0"/>
                      <w:ind w:left="0" w:right="0" w:firstLine="0"/>
                      <w:jc w:val="left"/>
                      <w:rPr>
                        <w:rFonts w:ascii="Calibri"/>
                        <w:sz w:val="20"/>
                      </w:rPr>
                    </w:pPr>
                    <w:r>
                      <w:rPr>
                        <w:rFonts w:ascii="Calibri"/>
                        <w:sz w:val="20"/>
                      </w:rPr>
                      <w:t>SBG</w:t>
                    </w:r>
                  </w:p>
                </w:txbxContent>
              </v:textbox>
              <w10:wrap type="none"/>
            </v:shape>
            <v:shape style="position:absolute;left:6592;top:4925;width:354;height:200" type="#_x0000_t202" filled="false" stroked="false">
              <v:textbox inset="0,0,0,0">
                <w:txbxContent>
                  <w:p>
                    <w:pPr>
                      <w:spacing w:line="200" w:lineRule="exact" w:before="0"/>
                      <w:ind w:left="0" w:right="0" w:firstLine="0"/>
                      <w:jc w:val="left"/>
                      <w:rPr>
                        <w:rFonts w:ascii="Calibri"/>
                        <w:sz w:val="20"/>
                      </w:rPr>
                    </w:pPr>
                    <w:r>
                      <w:rPr>
                        <w:rFonts w:ascii="Calibri"/>
                        <w:sz w:val="20"/>
                      </w:rPr>
                      <w:t>SAG</w:t>
                    </w:r>
                  </w:p>
                </w:txbxContent>
              </v:textbox>
              <w10:wrap type="none"/>
            </v:shape>
            <v:shape style="position:absolute;left:5672;top:4925;width:351;height:200" type="#_x0000_t202" filled="false" stroked="false">
              <v:textbox inset="0,0,0,0">
                <w:txbxContent>
                  <w:p>
                    <w:pPr>
                      <w:spacing w:line="200" w:lineRule="exact" w:before="0"/>
                      <w:ind w:left="0" w:right="0" w:firstLine="0"/>
                      <w:jc w:val="left"/>
                      <w:rPr>
                        <w:rFonts w:ascii="Calibri"/>
                        <w:sz w:val="20"/>
                      </w:rPr>
                    </w:pPr>
                    <w:r>
                      <w:rPr>
                        <w:rFonts w:ascii="Calibri"/>
                        <w:sz w:val="20"/>
                      </w:rPr>
                      <w:t>SAD</w:t>
                    </w:r>
                  </w:p>
                </w:txbxContent>
              </v:textbox>
              <w10:wrap type="none"/>
            </v:shape>
            <v:shape style="position:absolute;left:4672;top:4925;width:503;height:200" type="#_x0000_t202" filled="false" stroked="false">
              <v:textbox inset="0,0,0,0">
                <w:txbxContent>
                  <w:p>
                    <w:pPr>
                      <w:spacing w:line="200" w:lineRule="exact" w:before="0"/>
                      <w:ind w:left="0" w:right="0" w:firstLine="0"/>
                      <w:jc w:val="left"/>
                      <w:rPr>
                        <w:rFonts w:ascii="Calibri"/>
                        <w:sz w:val="20"/>
                      </w:rPr>
                    </w:pPr>
                    <w:r>
                      <w:rPr>
                        <w:rFonts w:ascii="Calibri"/>
                        <w:sz w:val="20"/>
                      </w:rPr>
                      <w:t>SBWC</w:t>
                    </w:r>
                  </w:p>
                </w:txbxContent>
              </v:textbox>
              <w10:wrap type="none"/>
            </v:shape>
            <v:shape style="position:absolute;left:3785;top:4925;width:430;height:200" type="#_x0000_t202" filled="false" stroked="false">
              <v:textbox inset="0,0,0,0">
                <w:txbxContent>
                  <w:p>
                    <w:pPr>
                      <w:spacing w:line="200" w:lineRule="exact" w:before="0"/>
                      <w:ind w:left="0" w:right="0" w:firstLine="0"/>
                      <w:jc w:val="left"/>
                      <w:rPr>
                        <w:rFonts w:ascii="Calibri"/>
                        <w:sz w:val="20"/>
                      </w:rPr>
                    </w:pPr>
                    <w:r>
                      <w:rPr>
                        <w:rFonts w:ascii="Calibri"/>
                        <w:sz w:val="20"/>
                      </w:rPr>
                      <w:t>SABZ</w:t>
                    </w:r>
                  </w:p>
                </w:txbxContent>
              </v:textbox>
              <w10:wrap type="none"/>
            </v:shape>
            <v:shape style="position:absolute;left:2905;top:4925;width:344;height:200" type="#_x0000_t202" filled="false" stroked="false">
              <v:textbox inset="0,0,0,0">
                <w:txbxContent>
                  <w:p>
                    <w:pPr>
                      <w:spacing w:line="200" w:lineRule="exact" w:before="0"/>
                      <w:ind w:left="0" w:right="0" w:firstLine="0"/>
                      <w:jc w:val="left"/>
                      <w:rPr>
                        <w:rFonts w:ascii="Calibri"/>
                        <w:sz w:val="20"/>
                      </w:rPr>
                    </w:pPr>
                    <w:r>
                      <w:rPr>
                        <w:rFonts w:ascii="Calibri"/>
                        <w:sz w:val="20"/>
                      </w:rPr>
                      <w:t>SAA</w:t>
                    </w:r>
                  </w:p>
                </w:txbxContent>
              </v:textbox>
              <w10:wrap type="none"/>
            </v:shape>
            <v:shape style="position:absolute;left:2215;top:2382;width:224;height:2435" type="#_x0000_t202" filled="false" stroked="false">
              <v:textbox inset="0,0,0,0">
                <w:txbxContent>
                  <w:p>
                    <w:pPr>
                      <w:spacing w:line="204" w:lineRule="exact" w:before="0"/>
                      <w:ind w:left="0" w:right="21" w:firstLine="0"/>
                      <w:jc w:val="center"/>
                      <w:rPr>
                        <w:rFonts w:ascii="Calibri"/>
                        <w:sz w:val="20"/>
                      </w:rPr>
                    </w:pPr>
                    <w:r>
                      <w:rPr>
                        <w:rFonts w:ascii="Calibri"/>
                        <w:spacing w:val="-2"/>
                        <w:sz w:val="20"/>
                      </w:rPr>
                      <w:t>20</w:t>
                    </w:r>
                  </w:p>
                  <w:p>
                    <w:pPr>
                      <w:spacing w:line="240" w:lineRule="auto" w:before="3"/>
                      <w:rPr>
                        <w:sz w:val="27"/>
                      </w:rPr>
                    </w:pPr>
                  </w:p>
                  <w:p>
                    <w:pPr>
                      <w:spacing w:before="1"/>
                      <w:ind w:left="0" w:right="21" w:firstLine="0"/>
                      <w:jc w:val="center"/>
                      <w:rPr>
                        <w:rFonts w:ascii="Calibri"/>
                        <w:sz w:val="20"/>
                      </w:rPr>
                    </w:pPr>
                    <w:r>
                      <w:rPr>
                        <w:rFonts w:ascii="Calibri"/>
                        <w:spacing w:val="-2"/>
                        <w:sz w:val="20"/>
                      </w:rPr>
                      <w:t>15</w:t>
                    </w:r>
                  </w:p>
                  <w:p>
                    <w:pPr>
                      <w:spacing w:line="240" w:lineRule="auto" w:before="4"/>
                      <w:rPr>
                        <w:sz w:val="27"/>
                      </w:rPr>
                    </w:pPr>
                  </w:p>
                  <w:p>
                    <w:pPr>
                      <w:spacing w:before="0"/>
                      <w:ind w:left="0" w:right="21" w:firstLine="0"/>
                      <w:jc w:val="center"/>
                      <w:rPr>
                        <w:rFonts w:ascii="Calibri"/>
                        <w:sz w:val="20"/>
                      </w:rPr>
                    </w:pPr>
                    <w:r>
                      <w:rPr>
                        <w:rFonts w:ascii="Calibri"/>
                        <w:spacing w:val="-2"/>
                        <w:sz w:val="20"/>
                      </w:rPr>
                      <w:t>10</w:t>
                    </w:r>
                  </w:p>
                  <w:p>
                    <w:pPr>
                      <w:spacing w:line="240" w:lineRule="auto" w:before="4"/>
                      <w:rPr>
                        <w:sz w:val="27"/>
                      </w:rPr>
                    </w:pPr>
                  </w:p>
                  <w:p>
                    <w:pPr>
                      <w:spacing w:before="0"/>
                      <w:ind w:left="82" w:right="0" w:firstLine="0"/>
                      <w:jc w:val="center"/>
                      <w:rPr>
                        <w:rFonts w:ascii="Calibri"/>
                        <w:sz w:val="20"/>
                      </w:rPr>
                    </w:pPr>
                    <w:r>
                      <w:rPr>
                        <w:rFonts w:ascii="Calibri"/>
                        <w:sz w:val="20"/>
                      </w:rPr>
                      <w:t>5</w:t>
                    </w:r>
                  </w:p>
                  <w:p>
                    <w:pPr>
                      <w:spacing w:line="240" w:lineRule="auto" w:before="4"/>
                      <w:rPr>
                        <w:sz w:val="27"/>
                      </w:rPr>
                    </w:pPr>
                  </w:p>
                  <w:p>
                    <w:pPr>
                      <w:spacing w:line="240" w:lineRule="exact" w:before="0"/>
                      <w:ind w:left="82" w:right="0" w:firstLine="0"/>
                      <w:jc w:val="center"/>
                      <w:rPr>
                        <w:rFonts w:ascii="Calibri"/>
                        <w:sz w:val="20"/>
                      </w:rPr>
                    </w:pPr>
                    <w:r>
                      <w:rPr>
                        <w:rFonts w:ascii="Calibri"/>
                        <w:sz w:val="20"/>
                      </w:rPr>
                      <w:t>0</w:t>
                    </w:r>
                  </w:p>
                </w:txbxContent>
              </v:textbox>
              <w10:wrap type="none"/>
            </v:shape>
            <v:shape style="position:absolute;left:7722;top:1838;width:386;height:200" type="#_x0000_t202" filled="false" stroked="false">
              <v:textbox inset="0,0,0,0">
                <w:txbxContent>
                  <w:p>
                    <w:pPr>
                      <w:spacing w:line="200" w:lineRule="exact" w:before="0"/>
                      <w:ind w:left="0" w:right="0" w:firstLine="0"/>
                      <w:jc w:val="left"/>
                      <w:rPr>
                        <w:rFonts w:ascii="Calibri"/>
                        <w:sz w:val="20"/>
                      </w:rPr>
                    </w:pPr>
                    <w:r>
                      <w:rPr>
                        <w:rFonts w:ascii="Calibri"/>
                        <w:sz w:val="20"/>
                      </w:rPr>
                      <w:t>Avril</w:t>
                    </w:r>
                  </w:p>
                </w:txbxContent>
              </v:textbox>
              <w10:wrap type="none"/>
            </v:shape>
            <v:shape style="position:absolute;left:5744;top:1838;width:434;height:200" type="#_x0000_t202" filled="false" stroked="false">
              <v:textbox inset="0,0,0,0">
                <w:txbxContent>
                  <w:p>
                    <w:pPr>
                      <w:spacing w:line="200" w:lineRule="exact" w:before="0"/>
                      <w:ind w:left="0" w:right="0" w:firstLine="0"/>
                      <w:jc w:val="left"/>
                      <w:rPr>
                        <w:rFonts w:ascii="Calibri"/>
                        <w:sz w:val="20"/>
                      </w:rPr>
                    </w:pPr>
                    <w:r>
                      <w:rPr>
                        <w:rFonts w:ascii="Calibri"/>
                        <w:sz w:val="20"/>
                      </w:rPr>
                      <w:t>Mars</w:t>
                    </w:r>
                  </w:p>
                </w:txbxContent>
              </v:textbox>
              <w10:wrap type="none"/>
            </v:shape>
            <v:shape style="position:absolute;left:3614;top:1838;width:585;height:200" type="#_x0000_t202" filled="false" stroked="false">
              <v:textbox inset="0,0,0,0">
                <w:txbxContent>
                  <w:p>
                    <w:pPr>
                      <w:spacing w:line="200" w:lineRule="exact" w:before="0"/>
                      <w:ind w:left="0" w:right="0" w:firstLine="0"/>
                      <w:jc w:val="left"/>
                      <w:rPr>
                        <w:rFonts w:ascii="Calibri" w:hAnsi="Calibri"/>
                        <w:sz w:val="20"/>
                      </w:rPr>
                    </w:pPr>
                    <w:r>
                      <w:rPr>
                        <w:rFonts w:ascii="Calibri" w:hAnsi="Calibri"/>
                        <w:sz w:val="20"/>
                      </w:rPr>
                      <w:t>Février</w:t>
                    </w:r>
                  </w:p>
                </w:txbxContent>
              </v:textbox>
              <w10:wrap type="none"/>
            </v:shape>
            <v:shape style="position:absolute;left:2215;top:1823;width:220;height:200" type="#_x0000_t202" filled="false" stroked="false">
              <v:textbox inset="0,0,0,0">
                <w:txbxContent>
                  <w:p>
                    <w:pPr>
                      <w:spacing w:line="200" w:lineRule="exact" w:before="0"/>
                      <w:ind w:left="0" w:right="0" w:firstLine="0"/>
                      <w:jc w:val="left"/>
                      <w:rPr>
                        <w:rFonts w:ascii="Calibri"/>
                        <w:sz w:val="20"/>
                      </w:rPr>
                    </w:pPr>
                    <w:r>
                      <w:rPr>
                        <w:rFonts w:ascii="Calibri"/>
                        <w:sz w:val="20"/>
                      </w:rPr>
                      <w:t>25</w:t>
                    </w:r>
                  </w:p>
                </w:txbxContent>
              </v:textbox>
              <w10:wrap type="none"/>
            </v:shape>
            <w10:wrap type="none"/>
          </v:group>
        </w:pict>
      </w:r>
      <w:r>
        <w:rPr/>
        <w:pict>
          <v:shape style="position:absolute;margin-left:91.707672pt;margin-top:107.771957pt;width:12pt;height:114.6pt;mso-position-horizontal-relative:page;mso-position-vertical-relative:paragraph;z-index:2800" type="#_x0000_t202" filled="false" stroked="false">
            <v:textbox inset="0,0,0,0" style="layout-flow:vertical;mso-layout-flow-alt:bottom-to-top">
              <w:txbxContent>
                <w:p>
                  <w:pPr>
                    <w:spacing w:line="224" w:lineRule="exact" w:before="0"/>
                    <w:ind w:left="20" w:right="0" w:firstLine="0"/>
                    <w:jc w:val="left"/>
                    <w:rPr>
                      <w:rFonts w:ascii="Calibri" w:hAnsi="Calibri"/>
                      <w:b/>
                      <w:sz w:val="20"/>
                    </w:rPr>
                  </w:pPr>
                  <w:r>
                    <w:rPr>
                      <w:rFonts w:ascii="Calibri" w:hAnsi="Calibri"/>
                      <w:b/>
                      <w:sz w:val="20"/>
                    </w:rPr>
                    <w:t>valeurs de température(°C)</w:t>
                  </w:r>
                </w:p>
              </w:txbxContent>
            </v:textbox>
            <w10:wrap type="none"/>
          </v:shape>
        </w:pict>
      </w:r>
      <w:r>
        <w:rPr/>
        <w:t>Ces valeurs sont proches de la température ambiante conforme aux normes l’OMS qui fixe une valeur maximale 25°C.</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6"/>
        <w:rPr>
          <w:sz w:val="25"/>
        </w:rPr>
      </w:pPr>
    </w:p>
    <w:p>
      <w:pPr>
        <w:pStyle w:val="BodyText"/>
        <w:spacing w:line="278" w:lineRule="auto"/>
        <w:ind w:left="4785" w:right="2308" w:hanging="3204"/>
      </w:pPr>
      <w:r>
        <w:rPr>
          <w:b/>
        </w:rPr>
        <w:t>Figure 09 : </w:t>
      </w:r>
      <w:r>
        <w:rPr/>
        <w:t>Variation mensuelle de la température dans les eaux de sources étudiées.</w:t>
      </w:r>
    </w:p>
    <w:p>
      <w:pPr>
        <w:pStyle w:val="BodyText"/>
        <w:spacing w:before="6"/>
        <w:rPr>
          <w:sz w:val="9"/>
        </w:rPr>
      </w:pPr>
    </w:p>
    <w:p>
      <w:pPr>
        <w:pStyle w:val="Heading4"/>
        <w:numPr>
          <w:ilvl w:val="2"/>
          <w:numId w:val="26"/>
        </w:numPr>
        <w:tabs>
          <w:tab w:pos="1420" w:val="left" w:leader="none"/>
        </w:tabs>
        <w:spacing w:line="240" w:lineRule="auto" w:before="90" w:after="0"/>
        <w:ind w:left="1419" w:right="0" w:hanging="744"/>
        <w:jc w:val="left"/>
      </w:pPr>
      <w:bookmarkStart w:name="_TOC_250021" w:id="60"/>
      <w:r>
        <w:rPr/>
        <w:t>Le potentiel d’hydrogène (pH)</w:t>
      </w:r>
      <w:r>
        <w:rPr>
          <w:spacing w:val="9"/>
        </w:rPr>
        <w:t> </w:t>
      </w:r>
      <w:bookmarkEnd w:id="60"/>
      <w:r>
        <w:rPr/>
        <w:t>:</w:t>
      </w:r>
    </w:p>
    <w:p>
      <w:pPr>
        <w:pStyle w:val="BodyText"/>
        <w:spacing w:before="6"/>
        <w:rPr>
          <w:b/>
          <w:sz w:val="20"/>
        </w:rPr>
      </w:pPr>
    </w:p>
    <w:p>
      <w:pPr>
        <w:pStyle w:val="BodyText"/>
        <w:spacing w:line="276" w:lineRule="auto"/>
        <w:ind w:left="675" w:right="1414" w:firstLine="707"/>
        <w:jc w:val="both"/>
      </w:pPr>
      <w:r>
        <w:rPr/>
        <w:t>Les valeurs du pH mesurées sont présentées dans la figure 10. Cette figure montre que tous les sites de prélèvement possèdent de valeurs proches de la neutralité (des valeurs varier entre 7,16 et7, 65).</w:t>
      </w:r>
    </w:p>
    <w:p>
      <w:pPr>
        <w:pStyle w:val="BodyText"/>
        <w:spacing w:line="278" w:lineRule="auto" w:before="199"/>
        <w:ind w:left="675" w:right="1433" w:firstLine="707"/>
        <w:jc w:val="both"/>
      </w:pPr>
      <w:r>
        <w:rPr/>
        <w:t>Cependant, durant le mois d’avril les valeurs augmentent légèrement avec l’augmentation de la température.</w:t>
      </w:r>
    </w:p>
    <w:p>
      <w:pPr>
        <w:pStyle w:val="BodyText"/>
        <w:spacing w:line="273" w:lineRule="auto" w:before="196"/>
        <w:ind w:left="675" w:right="1426" w:firstLine="707"/>
        <w:jc w:val="both"/>
      </w:pPr>
      <w:r>
        <w:rPr/>
        <w:t>Le pH des eaux des 06 sources analysées est conforme aux normes OMS qui fixe des valeurs de pH entre 6.5 et 8.5.</w:t>
      </w:r>
    </w:p>
    <w:p>
      <w:pPr>
        <w:spacing w:after="0" w:line="273" w:lineRule="auto"/>
        <w:jc w:val="both"/>
        <w:sectPr>
          <w:headerReference w:type="default" r:id="rId116"/>
          <w:footerReference w:type="default" r:id="rId117"/>
          <w:pgSz w:w="11900" w:h="16840"/>
          <w:pgMar w:header="727" w:footer="1061" w:top="1180" w:bottom="1260" w:left="740" w:right="0"/>
          <w:pgNumType w:start="43"/>
        </w:sectPr>
      </w:pPr>
    </w:p>
    <w:p>
      <w:pPr>
        <w:pStyle w:val="BodyText"/>
        <w:rPr>
          <w:sz w:val="20"/>
        </w:rPr>
      </w:pPr>
      <w:r>
        <w:rPr/>
        <w:pict>
          <v:shape style="position:absolute;margin-left:105.209846pt;margin-top:142.985886pt;width:12.05pt;height:43.1pt;mso-position-horizontal-relative:page;mso-position-vertical-relative:page;z-index:3112" type="#_x0000_t202" filled="false" stroked="false">
            <v:textbox inset="0,0,0,0" style="layout-flow:vertical;mso-layout-flow-alt:bottom-to-top">
              <w:txbxContent>
                <w:p>
                  <w:pPr>
                    <w:spacing w:line="224" w:lineRule="exact" w:before="0"/>
                    <w:ind w:left="20" w:right="0" w:firstLine="0"/>
                    <w:jc w:val="left"/>
                    <w:rPr>
                      <w:rFonts w:ascii="Calibri"/>
                      <w:b/>
                      <w:sz w:val="20"/>
                    </w:rPr>
                  </w:pPr>
                  <w:r>
                    <w:rPr>
                      <w:rFonts w:ascii="Calibri"/>
                      <w:b/>
                      <w:sz w:val="20"/>
                    </w:rPr>
                    <w:t>Valeur pH</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spacing w:before="0"/>
        <w:ind w:left="2338" w:right="0" w:firstLine="0"/>
        <w:jc w:val="left"/>
        <w:rPr>
          <w:sz w:val="24"/>
        </w:rPr>
      </w:pPr>
      <w:r>
        <w:rPr/>
        <w:pict>
          <v:group style="position:absolute;margin-left:71.850334pt;margin-top:-228.832291pt;width:425.5pt;height:217pt;mso-position-horizontal-relative:page;mso-position-vertical-relative:paragraph;z-index:2920" coordorigin="1437,-4577" coordsize="8510,4340">
            <v:shape style="position:absolute;left:2877;top:-4211;width:6217;height:2771" type="#_x0000_t75" stroked="false">
              <v:imagedata r:id="rId119" o:title=""/>
            </v:shape>
            <v:shape style="position:absolute;left:2855;top:-4023;width:5993;height:2605" coordorigin="2855,-4023" coordsize="5993,2605" path="m2915,-1474l2853,-1474m2915,-1790l2853,-1790m2915,-2110l2853,-2110m2915,-2426l2853,-2426m2915,-2746l2853,-2746m2915,-3061l2853,-3061m2915,-3377l2853,-3377m2915,-3697l2853,-3697m2915,-4013l2853,-4013m2913,-1474l2913,-1409m3904,-1474l3904,-1409m4892,-1474l4892,-1409m5879,-1474l5879,-1409m6866,-1474l6866,-1409m7854,-1474l7854,-1409m8841,-1474l8841,-1409e" filled="false" stroked="true" strokeweight=".999328pt" strokecolor="#858585">
              <v:path arrowok="t"/>
              <v:stroke dashstyle="solid"/>
            </v:shape>
            <v:rect style="position:absolute;left:4258;top:-4152;width:110;height:110" filled="true" fillcolor="#4f81bc" stroked="false">
              <v:fill type="solid"/>
            </v:rect>
            <v:rect style="position:absolute;left:5241;top:-4152;width:110;height:110" filled="true" fillcolor="#c0504d" stroked="false">
              <v:fill type="solid"/>
            </v:rect>
            <v:rect style="position:absolute;left:6072;top:-4152;width:110;height:110" filled="true" fillcolor="#9bba58" stroked="false">
              <v:fill type="solid"/>
            </v:rect>
            <v:rect style="position:absolute;left:1446;top:-4557;width:8485;height:4318" filled="false" stroked="true" strokeweight=".999328pt" strokecolor="#858585">
              <v:stroke dashstyle="solid"/>
            </v:rect>
            <v:shape style="position:absolute;left:3245;top:-1245;width:5286;height:594" type="#_x0000_t202" filled="false" stroked="false">
              <v:textbox inset="0,0,0,0">
                <w:txbxContent>
                  <w:p>
                    <w:pPr>
                      <w:tabs>
                        <w:tab w:pos="947" w:val="left" w:leader="none"/>
                        <w:tab w:pos="1896" w:val="left" w:leader="none"/>
                        <w:tab w:pos="2959" w:val="left" w:leader="none"/>
                        <w:tab w:pos="3948" w:val="left" w:leader="none"/>
                        <w:tab w:pos="4939" w:val="left" w:leader="none"/>
                      </w:tabs>
                      <w:spacing w:line="204" w:lineRule="exact" w:before="0"/>
                      <w:ind w:left="0" w:right="18" w:firstLine="0"/>
                      <w:jc w:val="center"/>
                      <w:rPr>
                        <w:rFonts w:ascii="Calibri"/>
                        <w:sz w:val="20"/>
                      </w:rPr>
                    </w:pPr>
                    <w:r>
                      <w:rPr>
                        <w:rFonts w:ascii="Calibri"/>
                        <w:sz w:val="20"/>
                      </w:rPr>
                      <w:t>SAA</w:t>
                      <w:tab/>
                      <w:t>SABZ</w:t>
                      <w:tab/>
                      <w:t>SBWC</w:t>
                      <w:tab/>
                      <w:t>SAD</w:t>
                      <w:tab/>
                      <w:t>SAG</w:t>
                      <w:tab/>
                    </w:r>
                    <w:r>
                      <w:rPr>
                        <w:rFonts w:ascii="Calibri"/>
                        <w:spacing w:val="-9"/>
                        <w:sz w:val="20"/>
                      </w:rPr>
                      <w:t>SBG</w:t>
                    </w:r>
                  </w:p>
                  <w:p>
                    <w:pPr>
                      <w:spacing w:line="240" w:lineRule="exact" w:before="149"/>
                      <w:ind w:left="0" w:right="15" w:firstLine="0"/>
                      <w:jc w:val="center"/>
                      <w:rPr>
                        <w:rFonts w:ascii="Calibri"/>
                        <w:b/>
                        <w:sz w:val="20"/>
                      </w:rPr>
                    </w:pPr>
                    <w:r>
                      <w:rPr>
                        <w:rFonts w:ascii="Calibri"/>
                        <w:b/>
                        <w:sz w:val="20"/>
                      </w:rPr>
                      <w:t>Sources</w:t>
                    </w:r>
                  </w:p>
                </w:txbxContent>
              </v:textbox>
              <w10:wrap type="none"/>
            </v:shape>
            <v:shape style="position:absolute;left:6271;top:-4188;width:386;height:200" type="#_x0000_t202" filled="false" stroked="false">
              <v:textbox inset="0,0,0,0">
                <w:txbxContent>
                  <w:p>
                    <w:pPr>
                      <w:spacing w:line="200" w:lineRule="exact" w:before="0"/>
                      <w:ind w:left="0" w:right="0" w:firstLine="0"/>
                      <w:jc w:val="left"/>
                      <w:rPr>
                        <w:rFonts w:ascii="Calibri"/>
                        <w:sz w:val="20"/>
                      </w:rPr>
                    </w:pPr>
                    <w:r>
                      <w:rPr>
                        <w:rFonts w:ascii="Calibri"/>
                        <w:sz w:val="20"/>
                      </w:rPr>
                      <w:t>Avril</w:t>
                    </w:r>
                  </w:p>
                </w:txbxContent>
              </v:textbox>
              <w10:wrap type="none"/>
            </v:shape>
            <v:shape style="position:absolute;left:4456;top:-4188;width:1418;height:200" type="#_x0000_t202" filled="false" stroked="false">
              <v:textbox inset="0,0,0,0">
                <w:txbxContent>
                  <w:p>
                    <w:pPr>
                      <w:tabs>
                        <w:tab w:pos="983" w:val="left" w:leader="none"/>
                      </w:tabs>
                      <w:spacing w:line="200" w:lineRule="exact" w:before="0"/>
                      <w:ind w:left="0" w:right="0" w:firstLine="0"/>
                      <w:jc w:val="left"/>
                      <w:rPr>
                        <w:rFonts w:ascii="Calibri" w:hAnsi="Calibri"/>
                        <w:sz w:val="20"/>
                      </w:rPr>
                    </w:pPr>
                    <w:r>
                      <w:rPr>
                        <w:rFonts w:ascii="Calibri" w:hAnsi="Calibri"/>
                        <w:sz w:val="20"/>
                      </w:rPr>
                      <w:t>Février</w:t>
                      <w:tab/>
                      <w:t>Mars</w:t>
                    </w:r>
                  </w:p>
                </w:txbxContent>
              </v:textbox>
              <w10:wrap type="none"/>
            </v:shape>
            <v:shape style="position:absolute;left:2478;top:-4094;width:273;height:2741" type="#_x0000_t202" filled="false" stroked="false">
              <v:textbox inset="0,0,0,0">
                <w:txbxContent>
                  <w:p>
                    <w:pPr>
                      <w:spacing w:line="204" w:lineRule="exact" w:before="0"/>
                      <w:ind w:left="0" w:right="21" w:firstLine="0"/>
                      <w:jc w:val="center"/>
                      <w:rPr>
                        <w:rFonts w:ascii="Calibri"/>
                        <w:sz w:val="20"/>
                      </w:rPr>
                    </w:pPr>
                    <w:r>
                      <w:rPr>
                        <w:rFonts w:ascii="Calibri"/>
                        <w:spacing w:val="-1"/>
                        <w:sz w:val="20"/>
                      </w:rPr>
                      <w:t>7,7</w:t>
                    </w:r>
                  </w:p>
                  <w:p>
                    <w:pPr>
                      <w:spacing w:before="73"/>
                      <w:ind w:left="0" w:right="21" w:firstLine="0"/>
                      <w:jc w:val="center"/>
                      <w:rPr>
                        <w:rFonts w:ascii="Calibri"/>
                        <w:sz w:val="20"/>
                      </w:rPr>
                    </w:pPr>
                    <w:r>
                      <w:rPr>
                        <w:rFonts w:ascii="Calibri"/>
                        <w:spacing w:val="-1"/>
                        <w:sz w:val="20"/>
                      </w:rPr>
                      <w:t>7,6</w:t>
                    </w:r>
                  </w:p>
                  <w:p>
                    <w:pPr>
                      <w:spacing w:before="73"/>
                      <w:ind w:left="0" w:right="21" w:firstLine="0"/>
                      <w:jc w:val="center"/>
                      <w:rPr>
                        <w:rFonts w:ascii="Calibri"/>
                        <w:sz w:val="20"/>
                      </w:rPr>
                    </w:pPr>
                    <w:r>
                      <w:rPr>
                        <w:rFonts w:ascii="Calibri"/>
                        <w:spacing w:val="-1"/>
                        <w:sz w:val="20"/>
                      </w:rPr>
                      <w:t>7,5</w:t>
                    </w:r>
                  </w:p>
                  <w:p>
                    <w:pPr>
                      <w:spacing w:before="74"/>
                      <w:ind w:left="0" w:right="21" w:firstLine="0"/>
                      <w:jc w:val="center"/>
                      <w:rPr>
                        <w:rFonts w:ascii="Calibri"/>
                        <w:sz w:val="20"/>
                      </w:rPr>
                    </w:pPr>
                    <w:r>
                      <w:rPr>
                        <w:rFonts w:ascii="Calibri"/>
                        <w:spacing w:val="-1"/>
                        <w:sz w:val="20"/>
                      </w:rPr>
                      <w:t>7,4</w:t>
                    </w:r>
                  </w:p>
                  <w:p>
                    <w:pPr>
                      <w:spacing w:before="74"/>
                      <w:ind w:left="0" w:right="21" w:firstLine="0"/>
                      <w:jc w:val="center"/>
                      <w:rPr>
                        <w:rFonts w:ascii="Calibri"/>
                        <w:sz w:val="20"/>
                      </w:rPr>
                    </w:pPr>
                    <w:r>
                      <w:rPr>
                        <w:rFonts w:ascii="Calibri"/>
                        <w:spacing w:val="-1"/>
                        <w:sz w:val="20"/>
                      </w:rPr>
                      <w:t>7,3</w:t>
                    </w:r>
                  </w:p>
                  <w:p>
                    <w:pPr>
                      <w:spacing w:before="73"/>
                      <w:ind w:left="0" w:right="21" w:firstLine="0"/>
                      <w:jc w:val="center"/>
                      <w:rPr>
                        <w:rFonts w:ascii="Calibri"/>
                        <w:sz w:val="20"/>
                      </w:rPr>
                    </w:pPr>
                    <w:r>
                      <w:rPr>
                        <w:rFonts w:ascii="Calibri"/>
                        <w:spacing w:val="-1"/>
                        <w:sz w:val="20"/>
                      </w:rPr>
                      <w:t>7,2</w:t>
                    </w:r>
                  </w:p>
                  <w:p>
                    <w:pPr>
                      <w:spacing w:before="74"/>
                      <w:ind w:left="0" w:right="21" w:firstLine="0"/>
                      <w:jc w:val="center"/>
                      <w:rPr>
                        <w:rFonts w:ascii="Calibri"/>
                        <w:sz w:val="20"/>
                      </w:rPr>
                    </w:pPr>
                    <w:r>
                      <w:rPr>
                        <w:rFonts w:ascii="Calibri"/>
                        <w:spacing w:val="-1"/>
                        <w:sz w:val="20"/>
                      </w:rPr>
                      <w:t>7,1</w:t>
                    </w:r>
                  </w:p>
                  <w:p>
                    <w:pPr>
                      <w:spacing w:before="73"/>
                      <w:ind w:left="131" w:right="0" w:firstLine="0"/>
                      <w:jc w:val="center"/>
                      <w:rPr>
                        <w:rFonts w:ascii="Calibri"/>
                        <w:sz w:val="20"/>
                      </w:rPr>
                    </w:pPr>
                    <w:r>
                      <w:rPr>
                        <w:rFonts w:ascii="Calibri"/>
                        <w:sz w:val="20"/>
                      </w:rPr>
                      <w:t>7</w:t>
                    </w:r>
                  </w:p>
                  <w:p>
                    <w:pPr>
                      <w:spacing w:line="240" w:lineRule="exact" w:before="73"/>
                      <w:ind w:left="0" w:right="21" w:firstLine="0"/>
                      <w:jc w:val="center"/>
                      <w:rPr>
                        <w:rFonts w:ascii="Calibri"/>
                        <w:sz w:val="20"/>
                      </w:rPr>
                    </w:pPr>
                    <w:r>
                      <w:rPr>
                        <w:rFonts w:ascii="Calibri"/>
                        <w:spacing w:val="-1"/>
                        <w:sz w:val="20"/>
                      </w:rPr>
                      <w:t>6,9</w:t>
                    </w:r>
                  </w:p>
                </w:txbxContent>
              </v:textbox>
              <w10:wrap type="none"/>
            </v:shape>
            <w10:wrap type="none"/>
          </v:group>
        </w:pict>
      </w:r>
      <w:r>
        <w:rPr>
          <w:b/>
          <w:sz w:val="24"/>
        </w:rPr>
        <w:t>Figure 10 : </w:t>
      </w:r>
      <w:r>
        <w:rPr>
          <w:sz w:val="24"/>
        </w:rPr>
        <w:t>variation mensuelle de pH dans station d’étude.</w:t>
      </w:r>
    </w:p>
    <w:p>
      <w:pPr>
        <w:pStyle w:val="BodyText"/>
        <w:rPr>
          <w:sz w:val="26"/>
        </w:rPr>
      </w:pPr>
    </w:p>
    <w:p>
      <w:pPr>
        <w:pStyle w:val="BodyText"/>
        <w:rPr>
          <w:sz w:val="26"/>
        </w:rPr>
      </w:pPr>
    </w:p>
    <w:p>
      <w:pPr>
        <w:pStyle w:val="Heading4"/>
        <w:numPr>
          <w:ilvl w:val="2"/>
          <w:numId w:val="26"/>
        </w:numPr>
        <w:tabs>
          <w:tab w:pos="1419" w:val="left" w:leader="none"/>
        </w:tabs>
        <w:spacing w:line="240" w:lineRule="auto" w:before="162" w:after="0"/>
        <w:ind w:left="1418" w:right="0" w:hanging="743"/>
        <w:jc w:val="left"/>
      </w:pPr>
      <w:bookmarkStart w:name="_TOC_250020" w:id="61"/>
      <w:r>
        <w:rPr/>
        <w:t>La conductivité électrique (CE)</w:t>
      </w:r>
      <w:r>
        <w:rPr>
          <w:spacing w:val="8"/>
        </w:rPr>
        <w:t> </w:t>
      </w:r>
      <w:bookmarkEnd w:id="61"/>
      <w:r>
        <w:rPr/>
        <w:t>:</w:t>
      </w:r>
    </w:p>
    <w:p>
      <w:pPr>
        <w:pStyle w:val="BodyText"/>
        <w:spacing w:before="9"/>
        <w:rPr>
          <w:b/>
          <w:sz w:val="20"/>
        </w:rPr>
      </w:pPr>
    </w:p>
    <w:p>
      <w:pPr>
        <w:pStyle w:val="BodyText"/>
        <w:spacing w:line="276" w:lineRule="auto" w:before="1"/>
        <w:ind w:left="675" w:right="1414"/>
        <w:jc w:val="both"/>
      </w:pPr>
      <w:r>
        <w:rPr/>
        <w:t>Les valeurs de la conductivité électrique enregistrées au niveau des 06 sources étudiées varient entre une valeur minimale de 541</w:t>
      </w:r>
      <w:r>
        <w:rPr>
          <w:i/>
        </w:rPr>
        <w:t>μS</w:t>
      </w:r>
      <w:r>
        <w:rPr/>
        <w:t>/</w:t>
      </w:r>
      <w:r>
        <w:rPr>
          <w:i/>
        </w:rPr>
        <w:t>cm </w:t>
      </w:r>
      <w:r>
        <w:rPr/>
        <w:t>au niveau de la source SABZ pendant le mois d’avril et une valeur maximale </w:t>
      </w:r>
      <w:r>
        <w:rPr>
          <w:spacing w:val="-3"/>
        </w:rPr>
        <w:t>de </w:t>
      </w:r>
      <w:r>
        <w:rPr/>
        <w:t>885</w:t>
      </w:r>
      <w:r>
        <w:rPr>
          <w:i/>
        </w:rPr>
        <w:t>μS/cm </w:t>
      </w:r>
      <w:r>
        <w:rPr/>
        <w:t>au niveau de la source </w:t>
      </w:r>
      <w:r>
        <w:rPr>
          <w:spacing w:val="-3"/>
        </w:rPr>
        <w:t>SAD </w:t>
      </w:r>
      <w:r>
        <w:rPr/>
        <w:t>pendant le même mois (Figure</w:t>
      </w:r>
      <w:r>
        <w:rPr>
          <w:spacing w:val="-1"/>
        </w:rPr>
        <w:t> </w:t>
      </w:r>
      <w:r>
        <w:rPr/>
        <w:t>11).</w:t>
      </w:r>
    </w:p>
    <w:p>
      <w:pPr>
        <w:pStyle w:val="BodyText"/>
        <w:spacing w:before="197"/>
        <w:ind w:left="675"/>
        <w:jc w:val="both"/>
        <w:rPr>
          <w:i/>
        </w:rPr>
      </w:pPr>
      <w:r>
        <w:rPr/>
        <w:pict>
          <v:group style="position:absolute;margin-left:71.850334pt;margin-top:35.09919pt;width:425.5pt;height:217pt;mso-position-horizontal-relative:page;mso-position-vertical-relative:paragraph;z-index:3064" coordorigin="1437,702" coordsize="8510,4340">
            <v:shape style="position:absolute;left:2669;top:939;width:5836;height:3015" type="#_x0000_t75" stroked="false">
              <v:imagedata r:id="rId120" o:title=""/>
            </v:shape>
            <v:shape style="position:absolute;left:2643;top:1127;width:5626;height:2857" coordorigin="2643,1128" coordsize="5626,2857" path="m2706,3923l2641,3923m2706,3615l2641,3615m2706,3303l2641,3303m2706,2991l2641,2991m2706,2684l2641,2684m2706,2372l2641,2372m2706,2060l2641,2060m2706,1752l2641,1752m2706,1440l2641,1440m2706,1133l2641,1133m2705,3923l2705,3987m3633,3923l3633,3987m4560,3923l4560,3987m5483,3923l5483,3987m6411,3923l6411,3987m7338,3923l7338,3987m8263,3923l8263,3987e" filled="false" stroked="true" strokeweight=".999328pt" strokecolor="#858585">
              <v:path arrowok="t"/>
              <v:stroke dashstyle="solid"/>
            </v:shape>
            <v:rect style="position:absolute;left:3044;top:1021;width:110;height:110" filled="true" fillcolor="#4f81bc" stroked="false">
              <v:fill type="solid"/>
            </v:rect>
            <v:rect style="position:absolute;left:4986;top:1021;width:110;height:110" filled="true" fillcolor="#c0504d" stroked="false">
              <v:fill type="solid"/>
            </v:rect>
            <v:rect style="position:absolute;left:6776;top:1021;width:110;height:110" filled="true" fillcolor="#9bba58" stroked="false">
              <v:fill type="solid"/>
            </v:rect>
            <v:rect style="position:absolute;left:1446;top:716;width:8485;height:4318" filled="false" stroked="true" strokeweight=".999328pt" strokecolor="#858585">
              <v:stroke dashstyle="solid"/>
            </v:rect>
            <v:shape style="position:absolute;left:2219;top:1053;width:323;height:2993" type="#_x0000_t202" filled="false" stroked="false">
              <v:textbox inset="0,0,0,0">
                <w:txbxContent>
                  <w:p>
                    <w:pPr>
                      <w:spacing w:line="204" w:lineRule="exact" w:before="0"/>
                      <w:ind w:left="0" w:right="0" w:firstLine="0"/>
                      <w:jc w:val="left"/>
                      <w:rPr>
                        <w:rFonts w:ascii="Calibri"/>
                        <w:sz w:val="20"/>
                      </w:rPr>
                    </w:pPr>
                    <w:r>
                      <w:rPr>
                        <w:rFonts w:ascii="Calibri"/>
                        <w:spacing w:val="-2"/>
                        <w:sz w:val="20"/>
                      </w:rPr>
                      <w:t>900</w:t>
                    </w:r>
                  </w:p>
                  <w:p>
                    <w:pPr>
                      <w:spacing w:before="66"/>
                      <w:ind w:left="0" w:right="0" w:firstLine="0"/>
                      <w:jc w:val="left"/>
                      <w:rPr>
                        <w:rFonts w:ascii="Calibri"/>
                        <w:sz w:val="20"/>
                      </w:rPr>
                    </w:pPr>
                    <w:r>
                      <w:rPr>
                        <w:rFonts w:ascii="Calibri"/>
                        <w:spacing w:val="-2"/>
                        <w:sz w:val="20"/>
                      </w:rPr>
                      <w:t>800</w:t>
                    </w:r>
                  </w:p>
                  <w:p>
                    <w:pPr>
                      <w:spacing w:before="66"/>
                      <w:ind w:left="0" w:right="0" w:firstLine="0"/>
                      <w:jc w:val="left"/>
                      <w:rPr>
                        <w:rFonts w:ascii="Calibri"/>
                        <w:sz w:val="20"/>
                      </w:rPr>
                    </w:pPr>
                    <w:r>
                      <w:rPr>
                        <w:rFonts w:ascii="Calibri"/>
                        <w:spacing w:val="-2"/>
                        <w:sz w:val="20"/>
                      </w:rPr>
                      <w:t>700</w:t>
                    </w:r>
                  </w:p>
                  <w:p>
                    <w:pPr>
                      <w:spacing w:before="66"/>
                      <w:ind w:left="0" w:right="0" w:firstLine="0"/>
                      <w:jc w:val="left"/>
                      <w:rPr>
                        <w:rFonts w:ascii="Calibri"/>
                        <w:sz w:val="20"/>
                      </w:rPr>
                    </w:pPr>
                    <w:r>
                      <w:rPr>
                        <w:rFonts w:ascii="Calibri"/>
                        <w:spacing w:val="-2"/>
                        <w:sz w:val="20"/>
                      </w:rPr>
                      <w:t>600</w:t>
                    </w:r>
                  </w:p>
                  <w:p>
                    <w:pPr>
                      <w:spacing w:before="66"/>
                      <w:ind w:left="0" w:right="0" w:firstLine="0"/>
                      <w:jc w:val="left"/>
                      <w:rPr>
                        <w:rFonts w:ascii="Calibri"/>
                        <w:sz w:val="20"/>
                      </w:rPr>
                    </w:pPr>
                    <w:r>
                      <w:rPr>
                        <w:rFonts w:ascii="Calibri"/>
                        <w:spacing w:val="-2"/>
                        <w:sz w:val="20"/>
                      </w:rPr>
                      <w:t>500</w:t>
                    </w:r>
                  </w:p>
                  <w:p>
                    <w:pPr>
                      <w:spacing w:before="67"/>
                      <w:ind w:left="0" w:right="0" w:firstLine="0"/>
                      <w:jc w:val="left"/>
                      <w:rPr>
                        <w:rFonts w:ascii="Calibri"/>
                        <w:sz w:val="20"/>
                      </w:rPr>
                    </w:pPr>
                    <w:r>
                      <w:rPr>
                        <w:rFonts w:ascii="Calibri"/>
                        <w:spacing w:val="-2"/>
                        <w:sz w:val="20"/>
                      </w:rPr>
                      <w:t>400</w:t>
                    </w:r>
                  </w:p>
                  <w:p>
                    <w:pPr>
                      <w:spacing w:before="66"/>
                      <w:ind w:left="0" w:right="0" w:firstLine="0"/>
                      <w:jc w:val="left"/>
                      <w:rPr>
                        <w:rFonts w:ascii="Calibri"/>
                        <w:sz w:val="20"/>
                      </w:rPr>
                    </w:pPr>
                    <w:r>
                      <w:rPr>
                        <w:rFonts w:ascii="Calibri"/>
                        <w:spacing w:val="-2"/>
                        <w:sz w:val="20"/>
                      </w:rPr>
                      <w:t>300</w:t>
                    </w:r>
                  </w:p>
                  <w:p>
                    <w:pPr>
                      <w:spacing w:before="66"/>
                      <w:ind w:left="0" w:right="0" w:firstLine="0"/>
                      <w:jc w:val="left"/>
                      <w:rPr>
                        <w:rFonts w:ascii="Calibri"/>
                        <w:sz w:val="20"/>
                      </w:rPr>
                    </w:pPr>
                    <w:r>
                      <w:rPr>
                        <w:rFonts w:ascii="Calibri"/>
                        <w:spacing w:val="-2"/>
                        <w:sz w:val="20"/>
                      </w:rPr>
                      <w:t>200</w:t>
                    </w:r>
                  </w:p>
                  <w:p>
                    <w:pPr>
                      <w:spacing w:before="66"/>
                      <w:ind w:left="0" w:right="0" w:firstLine="0"/>
                      <w:jc w:val="left"/>
                      <w:rPr>
                        <w:rFonts w:ascii="Calibri"/>
                        <w:sz w:val="20"/>
                      </w:rPr>
                    </w:pPr>
                    <w:r>
                      <w:rPr>
                        <w:rFonts w:ascii="Calibri"/>
                        <w:spacing w:val="-2"/>
                        <w:sz w:val="20"/>
                      </w:rPr>
                      <w:t>100</w:t>
                    </w:r>
                  </w:p>
                  <w:p>
                    <w:pPr>
                      <w:spacing w:line="240" w:lineRule="exact" w:before="66"/>
                      <w:ind w:left="201" w:right="0" w:firstLine="0"/>
                      <w:jc w:val="left"/>
                      <w:rPr>
                        <w:rFonts w:ascii="Calibri"/>
                        <w:sz w:val="20"/>
                      </w:rPr>
                    </w:pPr>
                    <w:r>
                      <w:rPr>
                        <w:rFonts w:ascii="Calibri"/>
                        <w:sz w:val="20"/>
                      </w:rPr>
                      <w:t>0</w:t>
                    </w:r>
                  </w:p>
                </w:txbxContent>
              </v:textbox>
              <w10:wrap type="none"/>
            </v:shape>
            <v:shape style="position:absolute;left:3242;top:988;width:585;height:200" type="#_x0000_t202" filled="false" stroked="false">
              <v:textbox inset="0,0,0,0">
                <w:txbxContent>
                  <w:p>
                    <w:pPr>
                      <w:spacing w:line="200" w:lineRule="exact" w:before="0"/>
                      <w:ind w:left="0" w:right="0" w:firstLine="0"/>
                      <w:jc w:val="left"/>
                      <w:rPr>
                        <w:rFonts w:ascii="Calibri" w:hAnsi="Calibri"/>
                        <w:sz w:val="20"/>
                      </w:rPr>
                    </w:pPr>
                    <w:r>
                      <w:rPr>
                        <w:rFonts w:ascii="Calibri" w:hAnsi="Calibri"/>
                        <w:sz w:val="20"/>
                      </w:rPr>
                      <w:t>Février</w:t>
                    </w:r>
                  </w:p>
                </w:txbxContent>
              </v:textbox>
              <w10:wrap type="none"/>
            </v:shape>
            <v:shape style="position:absolute;left:5185;top:988;width:434;height:200" type="#_x0000_t202" filled="false" stroked="false">
              <v:textbox inset="0,0,0,0">
                <w:txbxContent>
                  <w:p>
                    <w:pPr>
                      <w:spacing w:line="200" w:lineRule="exact" w:before="0"/>
                      <w:ind w:left="0" w:right="0" w:firstLine="0"/>
                      <w:jc w:val="left"/>
                      <w:rPr>
                        <w:rFonts w:ascii="Calibri"/>
                        <w:sz w:val="20"/>
                      </w:rPr>
                    </w:pPr>
                    <w:r>
                      <w:rPr>
                        <w:rFonts w:ascii="Calibri"/>
                        <w:sz w:val="20"/>
                      </w:rPr>
                      <w:t>Mars</w:t>
                    </w:r>
                  </w:p>
                </w:txbxContent>
              </v:textbox>
              <w10:wrap type="none"/>
            </v:shape>
            <v:shape style="position:absolute;left:6976;top:988;width:386;height:200" type="#_x0000_t202" filled="false" stroked="false">
              <v:textbox inset="0,0,0,0">
                <w:txbxContent>
                  <w:p>
                    <w:pPr>
                      <w:spacing w:line="200" w:lineRule="exact" w:before="0"/>
                      <w:ind w:left="0" w:right="0" w:firstLine="0"/>
                      <w:jc w:val="left"/>
                      <w:rPr>
                        <w:rFonts w:ascii="Calibri"/>
                        <w:sz w:val="20"/>
                      </w:rPr>
                    </w:pPr>
                    <w:r>
                      <w:rPr>
                        <w:rFonts w:ascii="Calibri"/>
                        <w:sz w:val="20"/>
                      </w:rPr>
                      <w:t>Avril</w:t>
                    </w:r>
                  </w:p>
                </w:txbxContent>
              </v:textbox>
              <w10:wrap type="none"/>
            </v:shape>
            <v:shape style="position:absolute;left:3007;top:4154;width:4975;height:599" type="#_x0000_t202" filled="false" stroked="false">
              <v:textbox inset="0,0,0,0">
                <w:txbxContent>
                  <w:p>
                    <w:pPr>
                      <w:tabs>
                        <w:tab w:pos="882" w:val="left" w:leader="none"/>
                        <w:tab w:pos="1773" w:val="left" w:leader="none"/>
                        <w:tab w:pos="2775" w:val="left" w:leader="none"/>
                        <w:tab w:pos="3697" w:val="left" w:leader="none"/>
                        <w:tab w:pos="4628" w:val="left" w:leader="none"/>
                      </w:tabs>
                      <w:spacing w:line="204" w:lineRule="exact" w:before="0"/>
                      <w:ind w:left="0" w:right="18" w:firstLine="0"/>
                      <w:jc w:val="center"/>
                      <w:rPr>
                        <w:rFonts w:ascii="Calibri"/>
                        <w:sz w:val="20"/>
                      </w:rPr>
                    </w:pPr>
                    <w:r>
                      <w:rPr>
                        <w:rFonts w:ascii="Calibri"/>
                        <w:sz w:val="20"/>
                      </w:rPr>
                      <w:t>SAA</w:t>
                      <w:tab/>
                      <w:t>SABZ</w:t>
                      <w:tab/>
                      <w:t>SBWC</w:t>
                      <w:tab/>
                      <w:t>SAD</w:t>
                      <w:tab/>
                      <w:t>SAG</w:t>
                      <w:tab/>
                    </w:r>
                    <w:r>
                      <w:rPr>
                        <w:rFonts w:ascii="Calibri"/>
                        <w:spacing w:val="-9"/>
                        <w:sz w:val="20"/>
                      </w:rPr>
                      <w:t>SBG</w:t>
                    </w:r>
                  </w:p>
                  <w:p>
                    <w:pPr>
                      <w:spacing w:line="240" w:lineRule="exact" w:before="154"/>
                      <w:ind w:left="0" w:right="13" w:firstLine="0"/>
                      <w:jc w:val="center"/>
                      <w:rPr>
                        <w:rFonts w:ascii="Calibri"/>
                        <w:b/>
                        <w:sz w:val="20"/>
                      </w:rPr>
                    </w:pPr>
                    <w:r>
                      <w:rPr>
                        <w:rFonts w:ascii="Calibri"/>
                        <w:b/>
                        <w:sz w:val="20"/>
                      </w:rPr>
                      <w:t>Sources</w:t>
                    </w:r>
                  </w:p>
                </w:txbxContent>
              </v:textbox>
              <w10:wrap type="none"/>
            </v:shape>
            <w10:wrap type="none"/>
          </v:group>
        </w:pict>
      </w:r>
      <w:r>
        <w:rPr/>
        <w:pict>
          <v:shape style="position:absolute;margin-left:91.707672pt;margin-top:60.780323pt;width:12pt;height:131.65pt;mso-position-horizontal-relative:page;mso-position-vertical-relative:paragraph;z-index:3088" type="#_x0000_t202" filled="false" stroked="false">
            <v:textbox inset="0,0,0,0" style="layout-flow:vertical;mso-layout-flow-alt:bottom-to-top">
              <w:txbxContent>
                <w:p>
                  <w:pPr>
                    <w:spacing w:line="224" w:lineRule="exact" w:before="0"/>
                    <w:ind w:left="20" w:right="0" w:firstLine="0"/>
                    <w:jc w:val="left"/>
                    <w:rPr>
                      <w:rFonts w:ascii="Calibri" w:hAnsi="Calibri"/>
                      <w:b/>
                      <w:sz w:val="20"/>
                    </w:rPr>
                  </w:pPr>
                  <w:r>
                    <w:rPr>
                      <w:rFonts w:ascii="Calibri" w:hAnsi="Calibri"/>
                      <w:b/>
                      <w:sz w:val="20"/>
                    </w:rPr>
                    <w:t>vaeurs du conductivité (μS/cm)</w:t>
                  </w:r>
                </w:p>
              </w:txbxContent>
            </v:textbox>
            <w10:wrap type="none"/>
          </v:shape>
        </w:pict>
      </w:r>
      <w:r>
        <w:rPr/>
        <w:t>Ces valeurs restent inférieures aux normes fixées par l’OMS (2011) (1400 </w:t>
      </w:r>
      <w:r>
        <w:rPr>
          <w:i/>
        </w:rPr>
        <w:t>μS</w:t>
      </w:r>
      <w:r>
        <w:rPr/>
        <w:t>/</w:t>
      </w:r>
      <w:r>
        <w:rPr>
          <w:i/>
        </w:rPr>
        <w:t>cm).</w:t>
      </w: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spacing w:before="7"/>
        <w:rPr>
          <w:i/>
          <w:sz w:val="27"/>
        </w:rPr>
      </w:pPr>
    </w:p>
    <w:p>
      <w:pPr>
        <w:pStyle w:val="BodyText"/>
        <w:ind w:left="597" w:right="1338"/>
        <w:jc w:val="center"/>
      </w:pPr>
      <w:r>
        <w:rPr>
          <w:b/>
        </w:rPr>
        <w:t>Figure 11:</w:t>
      </w:r>
      <w:r>
        <w:rPr/>
        <w:t>Variation mensuelle de La conductivité électrique des eaux de sources.</w:t>
      </w:r>
    </w:p>
    <w:p>
      <w:pPr>
        <w:spacing w:after="0"/>
        <w:jc w:val="center"/>
        <w:sectPr>
          <w:pgSz w:w="11900" w:h="16840"/>
          <w:pgMar w:header="727" w:footer="1061" w:top="1180" w:bottom="1260" w:left="740" w:right="0"/>
        </w:sectPr>
      </w:pPr>
    </w:p>
    <w:p>
      <w:pPr>
        <w:pStyle w:val="BodyText"/>
        <w:spacing w:before="4"/>
        <w:rPr>
          <w:sz w:val="16"/>
        </w:rPr>
      </w:pPr>
    </w:p>
    <w:p>
      <w:pPr>
        <w:pStyle w:val="Heading4"/>
        <w:numPr>
          <w:ilvl w:val="2"/>
          <w:numId w:val="26"/>
        </w:numPr>
        <w:tabs>
          <w:tab w:pos="1361" w:val="left" w:leader="none"/>
        </w:tabs>
        <w:spacing w:line="240" w:lineRule="auto" w:before="90" w:after="0"/>
        <w:ind w:left="1360" w:right="0" w:hanging="685"/>
        <w:jc w:val="left"/>
      </w:pPr>
      <w:bookmarkStart w:name="_TOC_250019" w:id="62"/>
      <w:bookmarkEnd w:id="62"/>
      <w:r>
        <w:rPr/>
        <w:t>L’oxygène dissous :</w:t>
      </w:r>
    </w:p>
    <w:p>
      <w:pPr>
        <w:pStyle w:val="BodyText"/>
        <w:spacing w:before="9"/>
        <w:rPr>
          <w:b/>
          <w:sz w:val="20"/>
        </w:rPr>
      </w:pPr>
    </w:p>
    <w:p>
      <w:pPr>
        <w:pStyle w:val="BodyText"/>
        <w:spacing w:line="273" w:lineRule="auto" w:before="1"/>
        <w:ind w:left="675" w:right="1323"/>
      </w:pPr>
      <w:r>
        <w:rPr/>
        <w:pict>
          <v:group style="position:absolute;margin-left:71.850334pt;margin-top:56.791843pt;width:416.3pt;height:215.35pt;mso-position-horizontal-relative:page;mso-position-vertical-relative:paragraph;z-index:3424" coordorigin="1437,1136" coordsize="8326,4307">
            <v:shape style="position:absolute;left:2345;top:1378;width:7253;height:3246" type="#_x0000_t75" stroked="false">
              <v:imagedata r:id="rId121" o:title=""/>
            </v:shape>
            <v:shape style="position:absolute;left:2323;top:1593;width:7000;height:3541" coordorigin="2323,1594" coordsize="7000,3541" path="m2386,4591l2321,4591m2386,4165l2321,4165m2386,3737l2321,3737m2386,3310l2321,3310m2386,2882l2321,2882m2386,2454l2321,2454m2386,2026l2321,2026m2386,1603l2321,1603m2385,4593l2385,4657m2385,4593l2385,5141m3541,4593l3541,4657m3541,4593l3541,5141m4696,4593l4696,4657m4696,4593l4696,5141m5851,4593l5851,4657m5851,4593l5851,5141m7006,4593l7006,4657m7006,4593l7006,5141m8162,4593l8162,4657m8162,4593l8162,5141m9317,4593l9317,4657m9317,4593l9317,5141e" filled="false" stroked="true" strokeweight=".999328pt" strokecolor="#858585">
              <v:path arrowok="t"/>
              <v:stroke dashstyle="solid"/>
            </v:shape>
            <v:rect style="position:absolute;left:3875;top:1506;width:110;height:110" filled="true" fillcolor="#4f81bc" stroked="false">
              <v:fill type="solid"/>
            </v:rect>
            <v:rect style="position:absolute;left:5574;top:1506;width:110;height:110" filled="true" fillcolor="#c0504d" stroked="false">
              <v:fill type="solid"/>
            </v:rect>
            <v:rect style="position:absolute;left:7121;top:1506;width:110;height:110" filled="true" fillcolor="#9bba58" stroked="false">
              <v:fill type="solid"/>
            </v:rect>
            <v:rect style="position:absolute;left:1446;top:1155;width:8301;height:4285" filled="false" stroked="true" strokeweight=".999328pt" strokecolor="#858585">
              <v:stroke dashstyle="solid"/>
            </v:rect>
            <v:shape style="position:absolute;left:1948;top:1521;width:270;height:200" type="#_x0000_t202" filled="false" stroked="false">
              <v:textbox inset="0,0,0,0">
                <w:txbxContent>
                  <w:p>
                    <w:pPr>
                      <w:spacing w:line="200" w:lineRule="exact" w:before="0"/>
                      <w:ind w:left="0" w:right="0" w:firstLine="0"/>
                      <w:jc w:val="left"/>
                      <w:rPr>
                        <w:rFonts w:ascii="Calibri"/>
                        <w:sz w:val="20"/>
                      </w:rPr>
                    </w:pPr>
                    <w:r>
                      <w:rPr>
                        <w:rFonts w:ascii="Calibri"/>
                        <w:sz w:val="20"/>
                      </w:rPr>
                      <w:t>1,4</w:t>
                    </w:r>
                  </w:p>
                </w:txbxContent>
              </v:textbox>
              <w10:wrap type="none"/>
            </v:shape>
            <v:shape style="position:absolute;left:4034;top:1471;width:585;height:200" type="#_x0000_t202" filled="false" stroked="false">
              <v:textbox inset="0,0,0,0">
                <w:txbxContent>
                  <w:p>
                    <w:pPr>
                      <w:spacing w:line="200" w:lineRule="exact" w:before="0"/>
                      <w:ind w:left="0" w:right="0" w:firstLine="0"/>
                      <w:jc w:val="left"/>
                      <w:rPr>
                        <w:rFonts w:ascii="Calibri" w:hAnsi="Calibri"/>
                        <w:sz w:val="20"/>
                      </w:rPr>
                    </w:pPr>
                    <w:r>
                      <w:rPr>
                        <w:rFonts w:ascii="Calibri" w:hAnsi="Calibri"/>
                        <w:sz w:val="20"/>
                      </w:rPr>
                      <w:t>Février</w:t>
                    </w:r>
                  </w:p>
                </w:txbxContent>
              </v:textbox>
              <w10:wrap type="none"/>
            </v:shape>
            <v:shape style="position:absolute;left:5733;top:1471;width:434;height:200" type="#_x0000_t202" filled="false" stroked="false">
              <v:textbox inset="0,0,0,0">
                <w:txbxContent>
                  <w:p>
                    <w:pPr>
                      <w:spacing w:line="200" w:lineRule="exact" w:before="0"/>
                      <w:ind w:left="0" w:right="0" w:firstLine="0"/>
                      <w:jc w:val="left"/>
                      <w:rPr>
                        <w:rFonts w:ascii="Calibri"/>
                        <w:sz w:val="20"/>
                      </w:rPr>
                    </w:pPr>
                    <w:r>
                      <w:rPr>
                        <w:rFonts w:ascii="Calibri"/>
                        <w:sz w:val="20"/>
                      </w:rPr>
                      <w:t>Mars</w:t>
                    </w:r>
                  </w:p>
                </w:txbxContent>
              </v:textbox>
              <w10:wrap type="none"/>
            </v:shape>
            <v:shape style="position:absolute;left:7281;top:1471;width:386;height:200" type="#_x0000_t202" filled="false" stroked="false">
              <v:textbox inset="0,0,0,0">
                <w:txbxContent>
                  <w:p>
                    <w:pPr>
                      <w:spacing w:line="200" w:lineRule="exact" w:before="0"/>
                      <w:ind w:left="0" w:right="0" w:firstLine="0"/>
                      <w:jc w:val="left"/>
                      <w:rPr>
                        <w:rFonts w:ascii="Calibri"/>
                        <w:sz w:val="20"/>
                      </w:rPr>
                    </w:pPr>
                    <w:r>
                      <w:rPr>
                        <w:rFonts w:ascii="Calibri"/>
                        <w:sz w:val="20"/>
                      </w:rPr>
                      <w:t>Avril</w:t>
                    </w:r>
                  </w:p>
                </w:txbxContent>
              </v:textbox>
              <w10:wrap type="none"/>
            </v:shape>
            <v:shape style="position:absolute;left:1948;top:1949;width:274;height:2764" type="#_x0000_t202" filled="false" stroked="false">
              <v:textbox inset="0,0,0,0">
                <w:txbxContent>
                  <w:p>
                    <w:pPr>
                      <w:spacing w:line="204" w:lineRule="exact" w:before="0"/>
                      <w:ind w:left="0" w:right="23" w:firstLine="0"/>
                      <w:jc w:val="center"/>
                      <w:rPr>
                        <w:rFonts w:ascii="Calibri"/>
                        <w:sz w:val="20"/>
                      </w:rPr>
                    </w:pPr>
                    <w:r>
                      <w:rPr>
                        <w:rFonts w:ascii="Calibri"/>
                        <w:spacing w:val="-2"/>
                        <w:sz w:val="20"/>
                      </w:rPr>
                      <w:t>1,2</w:t>
                    </w:r>
                  </w:p>
                  <w:p>
                    <w:pPr>
                      <w:spacing w:line="240" w:lineRule="auto" w:before="10"/>
                      <w:rPr>
                        <w:sz w:val="15"/>
                      </w:rPr>
                    </w:pPr>
                  </w:p>
                  <w:p>
                    <w:pPr>
                      <w:spacing w:before="0"/>
                      <w:ind w:left="131" w:right="0" w:firstLine="0"/>
                      <w:jc w:val="center"/>
                      <w:rPr>
                        <w:rFonts w:ascii="Calibri"/>
                        <w:sz w:val="20"/>
                      </w:rPr>
                    </w:pPr>
                    <w:r>
                      <w:rPr>
                        <w:rFonts w:ascii="Calibri"/>
                        <w:sz w:val="20"/>
                      </w:rPr>
                      <w:t>1</w:t>
                    </w:r>
                  </w:p>
                  <w:p>
                    <w:pPr>
                      <w:spacing w:line="240" w:lineRule="auto" w:before="11"/>
                      <w:rPr>
                        <w:sz w:val="15"/>
                      </w:rPr>
                    </w:pPr>
                  </w:p>
                  <w:p>
                    <w:pPr>
                      <w:spacing w:before="0"/>
                      <w:ind w:left="0" w:right="23" w:firstLine="0"/>
                      <w:jc w:val="center"/>
                      <w:rPr>
                        <w:rFonts w:ascii="Calibri"/>
                        <w:sz w:val="20"/>
                      </w:rPr>
                    </w:pPr>
                    <w:r>
                      <w:rPr>
                        <w:rFonts w:ascii="Calibri"/>
                        <w:spacing w:val="-2"/>
                        <w:sz w:val="20"/>
                      </w:rPr>
                      <w:t>0,8</w:t>
                    </w:r>
                  </w:p>
                  <w:p>
                    <w:pPr>
                      <w:spacing w:line="240" w:lineRule="auto" w:before="10"/>
                      <w:rPr>
                        <w:sz w:val="15"/>
                      </w:rPr>
                    </w:pPr>
                  </w:p>
                  <w:p>
                    <w:pPr>
                      <w:spacing w:before="0"/>
                      <w:ind w:left="0" w:right="23" w:firstLine="0"/>
                      <w:jc w:val="center"/>
                      <w:rPr>
                        <w:rFonts w:ascii="Calibri"/>
                        <w:sz w:val="20"/>
                      </w:rPr>
                    </w:pPr>
                    <w:r>
                      <w:rPr>
                        <w:rFonts w:ascii="Calibri"/>
                        <w:spacing w:val="-2"/>
                        <w:sz w:val="20"/>
                      </w:rPr>
                      <w:t>0,6</w:t>
                    </w:r>
                  </w:p>
                  <w:p>
                    <w:pPr>
                      <w:spacing w:line="240" w:lineRule="auto" w:before="11"/>
                      <w:rPr>
                        <w:sz w:val="15"/>
                      </w:rPr>
                    </w:pPr>
                  </w:p>
                  <w:p>
                    <w:pPr>
                      <w:spacing w:before="0"/>
                      <w:ind w:left="0" w:right="23" w:firstLine="0"/>
                      <w:jc w:val="center"/>
                      <w:rPr>
                        <w:rFonts w:ascii="Calibri"/>
                        <w:sz w:val="20"/>
                      </w:rPr>
                    </w:pPr>
                    <w:r>
                      <w:rPr>
                        <w:rFonts w:ascii="Calibri"/>
                        <w:spacing w:val="-2"/>
                        <w:sz w:val="20"/>
                      </w:rPr>
                      <w:t>0,4</w:t>
                    </w:r>
                  </w:p>
                  <w:p>
                    <w:pPr>
                      <w:spacing w:line="240" w:lineRule="auto" w:before="10"/>
                      <w:rPr>
                        <w:sz w:val="15"/>
                      </w:rPr>
                    </w:pPr>
                  </w:p>
                  <w:p>
                    <w:pPr>
                      <w:spacing w:before="1"/>
                      <w:ind w:left="0" w:right="23" w:firstLine="0"/>
                      <w:jc w:val="center"/>
                      <w:rPr>
                        <w:rFonts w:ascii="Calibri"/>
                        <w:sz w:val="20"/>
                      </w:rPr>
                    </w:pPr>
                    <w:r>
                      <w:rPr>
                        <w:rFonts w:ascii="Calibri"/>
                        <w:spacing w:val="-2"/>
                        <w:sz w:val="20"/>
                      </w:rPr>
                      <w:t>0,2</w:t>
                    </w:r>
                  </w:p>
                  <w:p>
                    <w:pPr>
                      <w:spacing w:line="240" w:lineRule="auto" w:before="10"/>
                      <w:rPr>
                        <w:sz w:val="15"/>
                      </w:rPr>
                    </w:pPr>
                  </w:p>
                  <w:p>
                    <w:pPr>
                      <w:spacing w:line="240" w:lineRule="exact" w:before="0"/>
                      <w:ind w:left="131" w:right="0" w:firstLine="0"/>
                      <w:jc w:val="center"/>
                      <w:rPr>
                        <w:rFonts w:ascii="Calibri"/>
                        <w:sz w:val="20"/>
                      </w:rPr>
                    </w:pPr>
                    <w:r>
                      <w:rPr>
                        <w:rFonts w:ascii="Calibri"/>
                        <w:sz w:val="20"/>
                      </w:rPr>
                      <w:t>0</w:t>
                    </w:r>
                  </w:p>
                </w:txbxContent>
              </v:textbox>
              <w10:wrap type="none"/>
            </v:shape>
            <v:shape style="position:absolute;left:2800;top:4821;width:344;height:201" type="#_x0000_t202" filled="false" stroked="false">
              <v:textbox inset="0,0,0,0">
                <w:txbxContent>
                  <w:p>
                    <w:pPr>
                      <w:spacing w:line="200" w:lineRule="exact" w:before="0"/>
                      <w:ind w:left="0" w:right="0" w:firstLine="0"/>
                      <w:jc w:val="left"/>
                      <w:rPr>
                        <w:rFonts w:ascii="Calibri"/>
                        <w:sz w:val="20"/>
                      </w:rPr>
                    </w:pPr>
                    <w:r>
                      <w:rPr>
                        <w:rFonts w:ascii="Calibri"/>
                        <w:sz w:val="20"/>
                      </w:rPr>
                      <w:t>SAA</w:t>
                    </w:r>
                  </w:p>
                </w:txbxContent>
              </v:textbox>
              <w10:wrap type="none"/>
            </v:shape>
            <v:shape style="position:absolute;left:3915;top:4821;width:430;height:201" type="#_x0000_t202" filled="false" stroked="false">
              <v:textbox inset="0,0,0,0">
                <w:txbxContent>
                  <w:p>
                    <w:pPr>
                      <w:spacing w:line="200" w:lineRule="exact" w:before="0"/>
                      <w:ind w:left="0" w:right="0" w:firstLine="0"/>
                      <w:jc w:val="left"/>
                      <w:rPr>
                        <w:rFonts w:ascii="Calibri"/>
                        <w:sz w:val="20"/>
                      </w:rPr>
                    </w:pPr>
                    <w:r>
                      <w:rPr>
                        <w:rFonts w:ascii="Calibri"/>
                        <w:sz w:val="20"/>
                      </w:rPr>
                      <w:t>SABZ</w:t>
                    </w:r>
                  </w:p>
                </w:txbxContent>
              </v:textbox>
              <w10:wrap type="none"/>
            </v:shape>
            <v:shape style="position:absolute;left:5031;top:4821;width:503;height:201" type="#_x0000_t202" filled="false" stroked="false">
              <v:textbox inset="0,0,0,0">
                <w:txbxContent>
                  <w:p>
                    <w:pPr>
                      <w:spacing w:line="200" w:lineRule="exact" w:before="0"/>
                      <w:ind w:left="0" w:right="0" w:firstLine="0"/>
                      <w:jc w:val="left"/>
                      <w:rPr>
                        <w:rFonts w:ascii="Calibri"/>
                        <w:sz w:val="20"/>
                      </w:rPr>
                    </w:pPr>
                    <w:r>
                      <w:rPr>
                        <w:rFonts w:ascii="Calibri"/>
                        <w:sz w:val="20"/>
                      </w:rPr>
                      <w:t>SBWC</w:t>
                    </w:r>
                  </w:p>
                </w:txbxContent>
              </v:textbox>
              <w10:wrap type="none"/>
            </v:shape>
            <v:shape style="position:absolute;left:6262;top:4821;width:351;height:201" type="#_x0000_t202" filled="false" stroked="false">
              <v:textbox inset="0,0,0,0">
                <w:txbxContent>
                  <w:p>
                    <w:pPr>
                      <w:spacing w:line="200" w:lineRule="exact" w:before="0"/>
                      <w:ind w:left="0" w:right="0" w:firstLine="0"/>
                      <w:jc w:val="left"/>
                      <w:rPr>
                        <w:rFonts w:ascii="Calibri"/>
                        <w:sz w:val="20"/>
                      </w:rPr>
                    </w:pPr>
                    <w:r>
                      <w:rPr>
                        <w:rFonts w:ascii="Calibri"/>
                        <w:sz w:val="20"/>
                      </w:rPr>
                      <w:t>SAD</w:t>
                    </w:r>
                  </w:p>
                </w:txbxContent>
              </v:textbox>
              <w10:wrap type="none"/>
            </v:shape>
            <v:shape style="position:absolute;left:7418;top:4821;width:355;height:201" type="#_x0000_t202" filled="false" stroked="false">
              <v:textbox inset="0,0,0,0">
                <w:txbxContent>
                  <w:p>
                    <w:pPr>
                      <w:spacing w:line="200" w:lineRule="exact" w:before="0"/>
                      <w:ind w:left="0" w:right="0" w:firstLine="0"/>
                      <w:jc w:val="left"/>
                      <w:rPr>
                        <w:rFonts w:ascii="Calibri"/>
                        <w:sz w:val="20"/>
                      </w:rPr>
                    </w:pPr>
                    <w:r>
                      <w:rPr>
                        <w:rFonts w:ascii="Calibri"/>
                        <w:sz w:val="20"/>
                      </w:rPr>
                      <w:t>SAG</w:t>
                    </w:r>
                  </w:p>
                </w:txbxContent>
              </v:textbox>
              <w10:wrap type="none"/>
            </v:shape>
            <v:shape style="position:absolute;left:8578;top:4821;width:347;height:201" type="#_x0000_t202" filled="false" stroked="false">
              <v:textbox inset="0,0,0,0">
                <w:txbxContent>
                  <w:p>
                    <w:pPr>
                      <w:spacing w:line="200" w:lineRule="exact" w:before="0"/>
                      <w:ind w:left="0" w:right="0" w:firstLine="0"/>
                      <w:jc w:val="left"/>
                      <w:rPr>
                        <w:rFonts w:ascii="Calibri"/>
                        <w:sz w:val="20"/>
                      </w:rPr>
                    </w:pPr>
                    <w:r>
                      <w:rPr>
                        <w:rFonts w:ascii="Calibri"/>
                        <w:sz w:val="20"/>
                      </w:rPr>
                      <w:t>SBG</w:t>
                    </w:r>
                  </w:p>
                </w:txbxContent>
              </v:textbox>
              <w10:wrap type="none"/>
            </v:shape>
            <v:shape style="position:absolute;left:5527;top:5172;width:667;height:200" type="#_x0000_t202" filled="false" stroked="false">
              <v:textbox inset="0,0,0,0">
                <w:txbxContent>
                  <w:p>
                    <w:pPr>
                      <w:spacing w:line="200" w:lineRule="exact" w:before="0"/>
                      <w:ind w:left="0" w:right="0" w:firstLine="0"/>
                      <w:jc w:val="left"/>
                      <w:rPr>
                        <w:rFonts w:ascii="Calibri"/>
                        <w:b/>
                        <w:sz w:val="20"/>
                      </w:rPr>
                    </w:pPr>
                    <w:r>
                      <w:rPr>
                        <w:rFonts w:ascii="Calibri"/>
                        <w:b/>
                        <w:sz w:val="20"/>
                      </w:rPr>
                      <w:t>Sources</w:t>
                    </w:r>
                  </w:p>
                </w:txbxContent>
              </v:textbox>
              <w10:wrap type="none"/>
            </v:shape>
            <w10:wrap type="none"/>
          </v:group>
        </w:pict>
      </w:r>
      <w:r>
        <w:rPr/>
        <w:pict>
          <v:shape style="position:absolute;margin-left:83.917915pt;margin-top:116.874641pt;width:12pt;height:76.350pt;mso-position-horizontal-relative:page;mso-position-vertical-relative:paragraph;z-index:3448" type="#_x0000_t202" filled="false" stroked="false">
            <v:textbox inset="0,0,0,0" style="layout-flow:vertical;mso-layout-flow-alt:bottom-to-top">
              <w:txbxContent>
                <w:p>
                  <w:pPr>
                    <w:spacing w:line="224" w:lineRule="exact" w:before="0"/>
                    <w:ind w:left="20" w:right="0" w:firstLine="0"/>
                    <w:jc w:val="left"/>
                    <w:rPr>
                      <w:rFonts w:ascii="Calibri"/>
                      <w:b/>
                      <w:sz w:val="20"/>
                    </w:rPr>
                  </w:pPr>
                  <w:r>
                    <w:rPr>
                      <w:rFonts w:ascii="Calibri"/>
                      <w:b/>
                      <w:sz w:val="20"/>
                    </w:rPr>
                    <w:t>Valeurs d'OS mg/l</w:t>
                  </w:r>
                </w:p>
              </w:txbxContent>
            </v:textbox>
            <w10:wrap type="none"/>
          </v:shape>
        </w:pict>
      </w:r>
      <w:r>
        <w:rPr/>
        <w:t>D’une manière générale, les teneurs en oxygène dissous (O</w:t>
      </w:r>
      <w:r>
        <w:rPr>
          <w:vertAlign w:val="subscript"/>
        </w:rPr>
        <w:t>2</w:t>
      </w:r>
      <w:r>
        <w:rPr>
          <w:vertAlign w:val="baseline"/>
        </w:rPr>
        <w:t>) sont comprises entre 0,1 enregistré au niveau de SAA durant le mois d’avril et SBWC pendant le mois de février et une valeur maximale égale à 1,33 mg/l au niveau de SBG durant le mois de mars (Figure 12).</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1"/>
        <w:rPr>
          <w:sz w:val="21"/>
        </w:rPr>
      </w:pPr>
    </w:p>
    <w:p>
      <w:pPr>
        <w:pStyle w:val="BodyText"/>
        <w:ind w:left="1083"/>
      </w:pPr>
      <w:r>
        <w:rPr>
          <w:b/>
        </w:rPr>
        <w:t>Figure 12: </w:t>
      </w:r>
      <w:r>
        <w:rPr/>
        <w:t>Evolution de l’oxygène dissous dans les eaux des sources échantillonnées.</w:t>
      </w:r>
    </w:p>
    <w:p>
      <w:pPr>
        <w:pStyle w:val="BodyText"/>
        <w:rPr>
          <w:sz w:val="26"/>
        </w:rPr>
      </w:pPr>
    </w:p>
    <w:p>
      <w:pPr>
        <w:pStyle w:val="BodyText"/>
        <w:rPr>
          <w:sz w:val="26"/>
        </w:rPr>
      </w:pPr>
    </w:p>
    <w:p>
      <w:pPr>
        <w:pStyle w:val="Heading4"/>
        <w:numPr>
          <w:ilvl w:val="2"/>
          <w:numId w:val="26"/>
        </w:numPr>
        <w:tabs>
          <w:tab w:pos="1420" w:val="left" w:leader="none"/>
        </w:tabs>
        <w:spacing w:line="240" w:lineRule="auto" w:before="162" w:after="0"/>
        <w:ind w:left="1419" w:right="0" w:hanging="744"/>
        <w:jc w:val="left"/>
      </w:pPr>
      <w:bookmarkStart w:name="_TOC_250018" w:id="63"/>
      <w:bookmarkEnd w:id="63"/>
      <w:r>
        <w:rPr/>
        <w:t>La salinité :</w:t>
      </w:r>
    </w:p>
    <w:p>
      <w:pPr>
        <w:pStyle w:val="BodyText"/>
        <w:spacing w:before="9"/>
        <w:rPr>
          <w:b/>
          <w:sz w:val="20"/>
        </w:rPr>
      </w:pPr>
    </w:p>
    <w:p>
      <w:pPr>
        <w:pStyle w:val="BodyText"/>
        <w:spacing w:line="276" w:lineRule="auto" w:before="1"/>
        <w:ind w:left="675" w:right="1410" w:firstLine="707"/>
        <w:jc w:val="both"/>
      </w:pPr>
      <w:r>
        <w:rPr/>
        <w:t>Les résultats présentés dans la figure ci-dessous, indique une valeur maximale (0.25) au niveau </w:t>
      </w:r>
      <w:r>
        <w:rPr>
          <w:spacing w:val="-3"/>
        </w:rPr>
        <w:t>de SBG </w:t>
      </w:r>
      <w:r>
        <w:rPr/>
        <w:t>durant le mois d’avril et une valeur minimale (0.01) au niveau de </w:t>
      </w:r>
      <w:r>
        <w:rPr>
          <w:spacing w:val="-3"/>
        </w:rPr>
        <w:t>SAD </w:t>
      </w:r>
      <w:r>
        <w:rPr/>
        <w:t>pendant le mois </w:t>
      </w:r>
      <w:r>
        <w:rPr>
          <w:spacing w:val="-3"/>
        </w:rPr>
        <w:t>de </w:t>
      </w:r>
      <w:r>
        <w:rPr/>
        <w:t>mars et des valeurs nulles dans la source de SABZ et </w:t>
      </w:r>
      <w:r>
        <w:rPr>
          <w:spacing w:val="-3"/>
        </w:rPr>
        <w:t>SBWC </w:t>
      </w:r>
      <w:r>
        <w:rPr/>
        <w:t>pendant les trois</w:t>
      </w:r>
      <w:r>
        <w:rPr>
          <w:spacing w:val="18"/>
        </w:rPr>
        <w:t> </w:t>
      </w:r>
      <w:r>
        <w:rPr/>
        <w:t>mois</w:t>
      </w:r>
      <w:r>
        <w:rPr>
          <w:spacing w:val="18"/>
        </w:rPr>
        <w:t> </w:t>
      </w:r>
      <w:r>
        <w:rPr/>
        <w:t>et</w:t>
      </w:r>
      <w:r>
        <w:rPr>
          <w:spacing w:val="20"/>
        </w:rPr>
        <w:t> </w:t>
      </w:r>
      <w:r>
        <w:rPr/>
        <w:t>pour</w:t>
      </w:r>
      <w:r>
        <w:rPr>
          <w:spacing w:val="20"/>
        </w:rPr>
        <w:t> </w:t>
      </w:r>
      <w:r>
        <w:rPr/>
        <w:t>SAA</w:t>
      </w:r>
      <w:r>
        <w:rPr>
          <w:spacing w:val="18"/>
        </w:rPr>
        <w:t> </w:t>
      </w:r>
      <w:r>
        <w:rPr/>
        <w:t>uniquement</w:t>
      </w:r>
      <w:r>
        <w:rPr>
          <w:spacing w:val="20"/>
        </w:rPr>
        <w:t> </w:t>
      </w:r>
      <w:r>
        <w:rPr/>
        <w:t>durant</w:t>
      </w:r>
      <w:r>
        <w:rPr>
          <w:spacing w:val="20"/>
        </w:rPr>
        <w:t> </w:t>
      </w:r>
      <w:r>
        <w:rPr/>
        <w:t>le</w:t>
      </w:r>
      <w:r>
        <w:rPr>
          <w:spacing w:val="20"/>
        </w:rPr>
        <w:t> </w:t>
      </w:r>
      <w:r>
        <w:rPr/>
        <w:t>mois</w:t>
      </w:r>
      <w:r>
        <w:rPr>
          <w:spacing w:val="18"/>
        </w:rPr>
        <w:t> </w:t>
      </w:r>
      <w:r>
        <w:rPr/>
        <w:t>de</w:t>
      </w:r>
      <w:r>
        <w:rPr>
          <w:spacing w:val="21"/>
        </w:rPr>
        <w:t> </w:t>
      </w:r>
      <w:r>
        <w:rPr/>
        <w:t>février</w:t>
      </w:r>
      <w:r>
        <w:rPr>
          <w:spacing w:val="15"/>
        </w:rPr>
        <w:t> </w:t>
      </w:r>
      <w:r>
        <w:rPr/>
        <w:t>et</w:t>
      </w:r>
      <w:r>
        <w:rPr>
          <w:spacing w:val="20"/>
        </w:rPr>
        <w:t> </w:t>
      </w:r>
      <w:r>
        <w:rPr/>
        <w:t>mars.</w:t>
      </w:r>
    </w:p>
    <w:p>
      <w:pPr>
        <w:spacing w:after="0" w:line="276" w:lineRule="auto"/>
        <w:jc w:val="both"/>
        <w:sectPr>
          <w:pgSz w:w="11900" w:h="16840"/>
          <w:pgMar w:header="727" w:footer="1061" w:top="1180" w:bottom="1260" w:left="740" w:right="0"/>
        </w:sectPr>
      </w:pPr>
    </w:p>
    <w:p>
      <w:pPr>
        <w:pStyle w:val="BodyText"/>
        <w:rPr>
          <w:sz w:val="20"/>
        </w:rPr>
      </w:pPr>
      <w:r>
        <w:rPr/>
        <w:pict>
          <v:shape style="position:absolute;margin-left:91.038124pt;margin-top:149.452713pt;width:12pt;height:76.75pt;mso-position-horizontal-relative:page;mso-position-vertical-relative:page;z-index:4144" type="#_x0000_t202" filled="false" stroked="false">
            <v:textbox inset="0,0,0,0" style="layout-flow:vertical;mso-layout-flow-alt:bottom-to-top">
              <w:txbxContent>
                <w:p>
                  <w:pPr>
                    <w:spacing w:line="224" w:lineRule="exact" w:before="0"/>
                    <w:ind w:left="20" w:right="0" w:firstLine="0"/>
                    <w:jc w:val="left"/>
                    <w:rPr>
                      <w:rFonts w:ascii="Calibri" w:hAnsi="Calibri"/>
                      <w:b/>
                      <w:sz w:val="20"/>
                    </w:rPr>
                  </w:pPr>
                  <w:r>
                    <w:rPr>
                      <w:rFonts w:ascii="Calibri" w:hAnsi="Calibri"/>
                      <w:b/>
                      <w:sz w:val="20"/>
                    </w:rPr>
                    <w:t>valeurs de salinité</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6"/>
        </w:rPr>
      </w:pPr>
    </w:p>
    <w:p>
      <w:pPr>
        <w:pStyle w:val="BodyText"/>
        <w:spacing w:before="90"/>
        <w:ind w:left="1454"/>
      </w:pPr>
      <w:r>
        <w:rPr/>
        <w:pict>
          <v:group style="position:absolute;margin-left:71.850334pt;margin-top:-239.261597pt;width:435.25pt;height:232pt;mso-position-horizontal-relative:page;mso-position-vertical-relative:paragraph;z-index:3856" coordorigin="1437,-4785" coordsize="8705,4640">
            <v:shape style="position:absolute;left:2705;top:-4543;width:6008;height:3317" type="#_x0000_t75" stroked="false">
              <v:imagedata r:id="rId122" o:title=""/>
            </v:shape>
            <v:shape style="position:absolute;left:2679;top:-4356;width:5794;height:3153" coordorigin="2679,-4355" coordsize="5794,3153" path="m2742,-1259l2677,-1259m2742,-1875l2677,-1875m2742,-2495l2677,-2495m2742,-3110l2677,-3110m2742,-3730l2677,-3730m2742,-4345l2677,-4345m2741,-1259l2741,-1195m3697,-1259l3697,-1195m4652,-1259l4652,-1195m5603,-1259l5603,-1195m6559,-1259l6559,-1195m7514,-1259l7514,-1195m8467,-1259l8467,-1195e" filled="false" stroked="true" strokeweight=".999328pt" strokecolor="#858585">
              <v:path arrowok="t"/>
              <v:stroke dashstyle="solid"/>
            </v:shape>
            <v:rect style="position:absolute;left:4864;top:-4318;width:110;height:110" filled="true" fillcolor="#4f81bc" stroked="false">
              <v:fill type="solid"/>
            </v:rect>
            <v:rect style="position:absolute;left:6755;top:-4318;width:110;height:110" filled="true" fillcolor="#c0504d" stroked="false">
              <v:fill type="solid"/>
            </v:rect>
            <v:rect style="position:absolute;left:8494;top:-4318;width:110;height:110" filled="true" fillcolor="#9bba58" stroked="false">
              <v:fill type="solid"/>
            </v:rect>
            <v:rect style="position:absolute;left:1446;top:-4766;width:8680;height:4617" filled="false" stroked="true" strokeweight=".999328pt" strokecolor="#858585">
              <v:stroke dashstyle="solid"/>
            </v:rect>
            <v:shape style="position:absolute;left:5325;top:-631;width:583;height:200" type="#_x0000_t202" filled="false" stroked="false">
              <v:textbox inset="0,0,0,0">
                <w:txbxContent>
                  <w:p>
                    <w:pPr>
                      <w:spacing w:line="200" w:lineRule="exact" w:before="0"/>
                      <w:ind w:left="0" w:right="0" w:firstLine="0"/>
                      <w:jc w:val="left"/>
                      <w:rPr>
                        <w:rFonts w:ascii="Calibri"/>
                        <w:b/>
                        <w:sz w:val="20"/>
                      </w:rPr>
                    </w:pPr>
                    <w:r>
                      <w:rPr>
                        <w:rFonts w:ascii="Calibri"/>
                        <w:b/>
                        <w:sz w:val="20"/>
                      </w:rPr>
                      <w:t>Soures</w:t>
                    </w:r>
                  </w:p>
                </w:txbxContent>
              </v:textbox>
              <w10:wrap type="none"/>
            </v:shape>
            <v:shape style="position:absolute;left:7827;top:-1030;width:346;height:200" type="#_x0000_t202" filled="false" stroked="false">
              <v:textbox inset="0,0,0,0">
                <w:txbxContent>
                  <w:p>
                    <w:pPr>
                      <w:spacing w:line="200" w:lineRule="exact" w:before="0"/>
                      <w:ind w:left="0" w:right="0" w:firstLine="0"/>
                      <w:jc w:val="left"/>
                      <w:rPr>
                        <w:rFonts w:ascii="Calibri"/>
                        <w:sz w:val="20"/>
                      </w:rPr>
                    </w:pPr>
                    <w:r>
                      <w:rPr>
                        <w:rFonts w:ascii="Calibri"/>
                        <w:sz w:val="20"/>
                      </w:rPr>
                      <w:t>SBG</w:t>
                    </w:r>
                  </w:p>
                </w:txbxContent>
              </v:textbox>
              <w10:wrap type="none"/>
            </v:shape>
            <v:shape style="position:absolute;left:6868;top:-1030;width:354;height:200" type="#_x0000_t202" filled="false" stroked="false">
              <v:textbox inset="0,0,0,0">
                <w:txbxContent>
                  <w:p>
                    <w:pPr>
                      <w:spacing w:line="200" w:lineRule="exact" w:before="0"/>
                      <w:ind w:left="0" w:right="0" w:firstLine="0"/>
                      <w:jc w:val="left"/>
                      <w:rPr>
                        <w:rFonts w:ascii="Calibri"/>
                        <w:sz w:val="20"/>
                      </w:rPr>
                    </w:pPr>
                    <w:r>
                      <w:rPr>
                        <w:rFonts w:ascii="Calibri"/>
                        <w:sz w:val="20"/>
                      </w:rPr>
                      <w:t>SAG</w:t>
                    </w:r>
                  </w:p>
                </w:txbxContent>
              </v:textbox>
              <w10:wrap type="none"/>
            </v:shape>
            <v:shape style="position:absolute;left:5918;top:-1030;width:351;height:200" type="#_x0000_t202" filled="false" stroked="false">
              <v:textbox inset="0,0,0,0">
                <w:txbxContent>
                  <w:p>
                    <w:pPr>
                      <w:spacing w:line="200" w:lineRule="exact" w:before="0"/>
                      <w:ind w:left="0" w:right="0" w:firstLine="0"/>
                      <w:jc w:val="left"/>
                      <w:rPr>
                        <w:rFonts w:ascii="Calibri"/>
                        <w:sz w:val="20"/>
                      </w:rPr>
                    </w:pPr>
                    <w:r>
                      <w:rPr>
                        <w:rFonts w:ascii="Calibri"/>
                        <w:sz w:val="20"/>
                      </w:rPr>
                      <w:t>SAD</w:t>
                    </w:r>
                  </w:p>
                </w:txbxContent>
              </v:textbox>
              <w10:wrap type="none"/>
            </v:shape>
            <v:shape style="position:absolute;left:4887;top:-1030;width:503;height:200" type="#_x0000_t202" filled="false" stroked="false">
              <v:textbox inset="0,0,0,0">
                <w:txbxContent>
                  <w:p>
                    <w:pPr>
                      <w:spacing w:line="200" w:lineRule="exact" w:before="0"/>
                      <w:ind w:left="0" w:right="0" w:firstLine="0"/>
                      <w:jc w:val="left"/>
                      <w:rPr>
                        <w:rFonts w:ascii="Calibri"/>
                        <w:sz w:val="20"/>
                      </w:rPr>
                    </w:pPr>
                    <w:r>
                      <w:rPr>
                        <w:rFonts w:ascii="Calibri"/>
                        <w:sz w:val="20"/>
                      </w:rPr>
                      <w:t>SBWC</w:t>
                    </w:r>
                  </w:p>
                </w:txbxContent>
              </v:textbox>
              <w10:wrap type="none"/>
            </v:shape>
            <v:shape style="position:absolute;left:3969;top:-1030;width:430;height:200" type="#_x0000_t202" filled="false" stroked="false">
              <v:textbox inset="0,0,0,0">
                <w:txbxContent>
                  <w:p>
                    <w:pPr>
                      <w:spacing w:line="200" w:lineRule="exact" w:before="0"/>
                      <w:ind w:left="0" w:right="0" w:firstLine="0"/>
                      <w:jc w:val="left"/>
                      <w:rPr>
                        <w:rFonts w:ascii="Calibri"/>
                        <w:sz w:val="20"/>
                      </w:rPr>
                    </w:pPr>
                    <w:r>
                      <w:rPr>
                        <w:rFonts w:ascii="Calibri"/>
                        <w:sz w:val="20"/>
                      </w:rPr>
                      <w:t>SABZ</w:t>
                    </w:r>
                  </w:p>
                </w:txbxContent>
              </v:textbox>
              <w10:wrap type="none"/>
            </v:shape>
            <v:shape style="position:absolute;left:3035;top:-1030;width:344;height:200" type="#_x0000_t202" filled="false" stroked="false">
              <v:textbox inset="0,0,0,0">
                <w:txbxContent>
                  <w:p>
                    <w:pPr>
                      <w:spacing w:line="200" w:lineRule="exact" w:before="0"/>
                      <w:ind w:left="0" w:right="0" w:firstLine="0"/>
                      <w:jc w:val="left"/>
                      <w:rPr>
                        <w:rFonts w:ascii="Calibri"/>
                        <w:sz w:val="20"/>
                      </w:rPr>
                    </w:pPr>
                    <w:r>
                      <w:rPr>
                        <w:rFonts w:ascii="Calibri"/>
                        <w:sz w:val="20"/>
                      </w:rPr>
                      <w:t>SAA</w:t>
                    </w:r>
                  </w:p>
                </w:txbxContent>
              </v:textbox>
              <w10:wrap type="none"/>
            </v:shape>
            <v:shape style="position:absolute;left:2454;top:-1339;width:122;height:200" type="#_x0000_t202" filled="false" stroked="false">
              <v:textbox inset="0,0,0,0">
                <w:txbxContent>
                  <w:p>
                    <w:pPr>
                      <w:spacing w:line="200" w:lineRule="exact" w:before="0"/>
                      <w:ind w:left="0" w:right="0" w:firstLine="0"/>
                      <w:jc w:val="left"/>
                      <w:rPr>
                        <w:rFonts w:ascii="Calibri"/>
                        <w:sz w:val="20"/>
                      </w:rPr>
                    </w:pPr>
                    <w:r>
                      <w:rPr>
                        <w:rFonts w:ascii="Calibri"/>
                        <w:sz w:val="20"/>
                      </w:rPr>
                      <w:t>0</w:t>
                    </w:r>
                  </w:p>
                </w:txbxContent>
              </v:textbox>
              <w10:wrap type="none"/>
            </v:shape>
            <v:shape style="position:absolute;left:2204;top:-1956;width:370;height:200" type="#_x0000_t202" filled="false" stroked="false">
              <v:textbox inset="0,0,0,0">
                <w:txbxContent>
                  <w:p>
                    <w:pPr>
                      <w:spacing w:line="200" w:lineRule="exact" w:before="0"/>
                      <w:ind w:left="0" w:right="0" w:firstLine="0"/>
                      <w:jc w:val="left"/>
                      <w:rPr>
                        <w:rFonts w:ascii="Calibri"/>
                        <w:sz w:val="20"/>
                      </w:rPr>
                    </w:pPr>
                    <w:r>
                      <w:rPr>
                        <w:rFonts w:ascii="Calibri"/>
                        <w:sz w:val="20"/>
                      </w:rPr>
                      <w:t>0,05</w:t>
                    </w:r>
                  </w:p>
                </w:txbxContent>
              </v:textbox>
              <w10:wrap type="none"/>
            </v:shape>
            <v:shape style="position:absolute;left:2303;top:-2573;width:270;height:200" type="#_x0000_t202" filled="false" stroked="false">
              <v:textbox inset="0,0,0,0">
                <w:txbxContent>
                  <w:p>
                    <w:pPr>
                      <w:spacing w:line="200" w:lineRule="exact" w:before="0"/>
                      <w:ind w:left="0" w:right="0" w:firstLine="0"/>
                      <w:jc w:val="left"/>
                      <w:rPr>
                        <w:rFonts w:ascii="Calibri"/>
                        <w:sz w:val="20"/>
                      </w:rPr>
                    </w:pPr>
                    <w:r>
                      <w:rPr>
                        <w:rFonts w:ascii="Calibri"/>
                        <w:sz w:val="20"/>
                      </w:rPr>
                      <w:t>0,1</w:t>
                    </w:r>
                  </w:p>
                </w:txbxContent>
              </v:textbox>
              <w10:wrap type="none"/>
            </v:shape>
            <v:shape style="position:absolute;left:2204;top:-3191;width:370;height:200" type="#_x0000_t202" filled="false" stroked="false">
              <v:textbox inset="0,0,0,0">
                <w:txbxContent>
                  <w:p>
                    <w:pPr>
                      <w:spacing w:line="200" w:lineRule="exact" w:before="0"/>
                      <w:ind w:left="0" w:right="0" w:firstLine="0"/>
                      <w:jc w:val="left"/>
                      <w:rPr>
                        <w:rFonts w:ascii="Calibri"/>
                        <w:sz w:val="20"/>
                      </w:rPr>
                    </w:pPr>
                    <w:r>
                      <w:rPr>
                        <w:rFonts w:ascii="Calibri"/>
                        <w:sz w:val="20"/>
                      </w:rPr>
                      <w:t>0,15</w:t>
                    </w:r>
                  </w:p>
                </w:txbxContent>
              </v:textbox>
              <w10:wrap type="none"/>
            </v:shape>
            <v:shape style="position:absolute;left:2303;top:-3809;width:270;height:200" type="#_x0000_t202" filled="false" stroked="false">
              <v:textbox inset="0,0,0,0">
                <w:txbxContent>
                  <w:p>
                    <w:pPr>
                      <w:spacing w:line="200" w:lineRule="exact" w:before="0"/>
                      <w:ind w:left="0" w:right="0" w:firstLine="0"/>
                      <w:jc w:val="left"/>
                      <w:rPr>
                        <w:rFonts w:ascii="Calibri"/>
                        <w:sz w:val="20"/>
                      </w:rPr>
                    </w:pPr>
                    <w:r>
                      <w:rPr>
                        <w:rFonts w:ascii="Calibri"/>
                        <w:sz w:val="20"/>
                      </w:rPr>
                      <w:t>0,2</w:t>
                    </w:r>
                  </w:p>
                </w:txbxContent>
              </v:textbox>
              <w10:wrap type="none"/>
            </v:shape>
            <v:shape style="position:absolute;left:8694;top:-4354;width:386;height:200" type="#_x0000_t202" filled="false" stroked="false">
              <v:textbox inset="0,0,0,0">
                <w:txbxContent>
                  <w:p>
                    <w:pPr>
                      <w:spacing w:line="200" w:lineRule="exact" w:before="0"/>
                      <w:ind w:left="0" w:right="0" w:firstLine="0"/>
                      <w:jc w:val="left"/>
                      <w:rPr>
                        <w:rFonts w:ascii="Calibri"/>
                        <w:sz w:val="20"/>
                      </w:rPr>
                    </w:pPr>
                    <w:r>
                      <w:rPr>
                        <w:rFonts w:ascii="Calibri"/>
                        <w:sz w:val="20"/>
                      </w:rPr>
                      <w:t>Avril</w:t>
                    </w:r>
                  </w:p>
                </w:txbxContent>
              </v:textbox>
              <w10:wrap type="none"/>
            </v:shape>
            <v:shape style="position:absolute;left:6954;top:-4354;width:434;height:200" type="#_x0000_t202" filled="false" stroked="false">
              <v:textbox inset="0,0,0,0">
                <w:txbxContent>
                  <w:p>
                    <w:pPr>
                      <w:spacing w:line="200" w:lineRule="exact" w:before="0"/>
                      <w:ind w:left="0" w:right="0" w:firstLine="0"/>
                      <w:jc w:val="left"/>
                      <w:rPr>
                        <w:rFonts w:ascii="Calibri"/>
                        <w:sz w:val="20"/>
                      </w:rPr>
                    </w:pPr>
                    <w:r>
                      <w:rPr>
                        <w:rFonts w:ascii="Calibri"/>
                        <w:sz w:val="20"/>
                      </w:rPr>
                      <w:t>Mars</w:t>
                    </w:r>
                  </w:p>
                </w:txbxContent>
              </v:textbox>
              <w10:wrap type="none"/>
            </v:shape>
            <v:shape style="position:absolute;left:5063;top:-4354;width:585;height:200" type="#_x0000_t202" filled="false" stroked="false">
              <v:textbox inset="0,0,0,0">
                <w:txbxContent>
                  <w:p>
                    <w:pPr>
                      <w:spacing w:line="200" w:lineRule="exact" w:before="0"/>
                      <w:ind w:left="0" w:right="0" w:firstLine="0"/>
                      <w:jc w:val="left"/>
                      <w:rPr>
                        <w:rFonts w:ascii="Calibri" w:hAnsi="Calibri"/>
                        <w:sz w:val="20"/>
                      </w:rPr>
                    </w:pPr>
                    <w:r>
                      <w:rPr>
                        <w:rFonts w:ascii="Calibri" w:hAnsi="Calibri"/>
                        <w:sz w:val="20"/>
                      </w:rPr>
                      <w:t>Février</w:t>
                    </w:r>
                  </w:p>
                </w:txbxContent>
              </v:textbox>
              <w10:wrap type="none"/>
            </v:shape>
            <v:shape style="position:absolute;left:2204;top:-4426;width:370;height:200" type="#_x0000_t202" filled="false" stroked="false">
              <v:textbox inset="0,0,0,0">
                <w:txbxContent>
                  <w:p>
                    <w:pPr>
                      <w:spacing w:line="200" w:lineRule="exact" w:before="0"/>
                      <w:ind w:left="0" w:right="0" w:firstLine="0"/>
                      <w:jc w:val="left"/>
                      <w:rPr>
                        <w:rFonts w:ascii="Calibri"/>
                        <w:sz w:val="20"/>
                      </w:rPr>
                    </w:pPr>
                    <w:r>
                      <w:rPr>
                        <w:rFonts w:ascii="Calibri"/>
                        <w:sz w:val="20"/>
                      </w:rPr>
                      <w:t>0,25</w:t>
                    </w:r>
                  </w:p>
                </w:txbxContent>
              </v:textbox>
              <w10:wrap type="none"/>
            </v:shape>
            <w10:wrap type="none"/>
          </v:group>
        </w:pict>
      </w:r>
      <w:r>
        <w:rPr>
          <w:b/>
        </w:rPr>
        <w:t>Figure 13 : </w:t>
      </w:r>
      <w:r>
        <w:rPr/>
        <w:t>Evolution de la salinité dans les eaux des sources échantillonnées.</w:t>
      </w:r>
    </w:p>
    <w:p>
      <w:pPr>
        <w:pStyle w:val="BodyText"/>
        <w:rPr>
          <w:sz w:val="26"/>
        </w:rPr>
      </w:pPr>
    </w:p>
    <w:p>
      <w:pPr>
        <w:pStyle w:val="BodyText"/>
        <w:rPr>
          <w:sz w:val="26"/>
        </w:rPr>
      </w:pPr>
    </w:p>
    <w:p>
      <w:pPr>
        <w:pStyle w:val="Heading4"/>
        <w:spacing w:before="166"/>
      </w:pPr>
      <w:bookmarkStart w:name="_TOC_250017" w:id="64"/>
      <w:bookmarkEnd w:id="64"/>
      <w:r>
        <w:rPr/>
        <w:t>IV.1.6.T.D.S. (des substances dissoutes dans l’eau) :</w:t>
      </w:r>
    </w:p>
    <w:p>
      <w:pPr>
        <w:pStyle w:val="BodyText"/>
        <w:spacing w:before="5"/>
        <w:rPr>
          <w:b/>
          <w:sz w:val="20"/>
        </w:rPr>
      </w:pPr>
    </w:p>
    <w:p>
      <w:pPr>
        <w:pStyle w:val="BodyText"/>
        <w:spacing w:line="276" w:lineRule="auto"/>
        <w:ind w:left="675" w:right="1412" w:firstLine="707"/>
        <w:jc w:val="both"/>
      </w:pPr>
      <w:r>
        <w:rPr/>
        <w:t>L’histogramme ci-dessous montre que la concentration en sels dissous est nettement élevée dans les sources SAA, SAD, SAG et SBG dont la valeur maximale est enregistrée au niveau de SAD durant le mois d’avril (415 mg/l). En ce qui concerne les résultats de l'eau des sources de SABZ et SBWZ les valeurs sont assez faible.</w:t>
      </w:r>
    </w:p>
    <w:p>
      <w:pPr>
        <w:pStyle w:val="BodyText"/>
        <w:spacing w:line="273" w:lineRule="auto" w:before="202"/>
        <w:ind w:left="675" w:right="1430" w:firstLine="707"/>
        <w:jc w:val="both"/>
      </w:pPr>
      <w:r>
        <w:rPr/>
        <w:pict>
          <v:group style="position:absolute;margin-left:71.850334pt;margin-top:51.080032pt;width:430.75pt;height:204.25pt;mso-position-horizontal-relative:page;mso-position-vertical-relative:paragraph;z-index:4096" coordorigin="1437,1022" coordsize="8615,4085">
            <v:shape style="position:absolute;left:2359;top:1244;width:7045;height:3238" type="#_x0000_t75" stroked="false">
              <v:imagedata r:id="rId123" o:title=""/>
            </v:shape>
            <v:shape style="position:absolute;left:2335;top:1459;width:6797;height:3053" coordorigin="2335,1460" coordsize="6797,3053" path="m2398,4450l2333,4450m2398,4118l2333,4118m2398,3786l2333,3786m2398,3454l2333,3454m2398,3122l2333,3122m2398,2791l2333,2791m2398,2459l2333,2459m2398,2127l2333,2127m2398,1795l2333,1795m2398,1464l2333,1464m2397,4450l2397,4514m3521,4450l3521,4514m4640,4450l4640,4514m5763,4450l5763,4514m6882,4450l6882,4514m8006,4450l8006,4514m9126,4450l9126,4514e" filled="false" stroked="true" strokeweight=".999328pt" strokecolor="#858585">
              <v:path arrowok="t"/>
              <v:stroke dashstyle="solid"/>
            </v:shape>
            <v:rect style="position:absolute;left:4498;top:1347;width:110;height:110" filled="true" fillcolor="#4f81bc" stroked="false">
              <v:fill type="solid"/>
            </v:rect>
            <v:rect style="position:absolute;left:5710;top:1347;width:110;height:110" filled="true" fillcolor="#c0504d" stroked="false">
              <v:fill type="solid"/>
            </v:rect>
            <v:rect style="position:absolute;left:6815;top:1347;width:110;height:110" filled="true" fillcolor="#9bba58" stroked="false">
              <v:fill type="solid"/>
            </v:rect>
            <v:rect style="position:absolute;left:1446;top:1035;width:8590;height:4063" filled="false" stroked="true" strokeweight=".999328pt" strokecolor="#858585">
              <v:stroke dashstyle="solid"/>
            </v:rect>
            <v:shape style="position:absolute;left:8380;top:4681;width:346;height:200" type="#_x0000_t202" filled="false" stroked="false">
              <v:textbox inset="0,0,0,0">
                <w:txbxContent>
                  <w:p>
                    <w:pPr>
                      <w:spacing w:line="200" w:lineRule="exact" w:before="0"/>
                      <w:ind w:left="0" w:right="0" w:firstLine="0"/>
                      <w:jc w:val="left"/>
                      <w:rPr>
                        <w:rFonts w:ascii="Calibri"/>
                        <w:sz w:val="20"/>
                      </w:rPr>
                    </w:pPr>
                    <w:r>
                      <w:rPr>
                        <w:rFonts w:ascii="Calibri"/>
                        <w:sz w:val="20"/>
                      </w:rPr>
                      <w:t>SBG</w:t>
                    </w:r>
                  </w:p>
                </w:txbxContent>
              </v:textbox>
              <w10:wrap type="none"/>
            </v:shape>
            <v:shape style="position:absolute;left:7255;top:4681;width:354;height:200" type="#_x0000_t202" filled="false" stroked="false">
              <v:textbox inset="0,0,0,0">
                <w:txbxContent>
                  <w:p>
                    <w:pPr>
                      <w:spacing w:line="200" w:lineRule="exact" w:before="0"/>
                      <w:ind w:left="0" w:right="0" w:firstLine="0"/>
                      <w:jc w:val="left"/>
                      <w:rPr>
                        <w:rFonts w:ascii="Calibri"/>
                        <w:sz w:val="20"/>
                      </w:rPr>
                    </w:pPr>
                    <w:r>
                      <w:rPr>
                        <w:rFonts w:ascii="Calibri"/>
                        <w:sz w:val="20"/>
                      </w:rPr>
                      <w:t>SAG</w:t>
                    </w:r>
                  </w:p>
                </w:txbxContent>
              </v:textbox>
              <w10:wrap type="none"/>
            </v:shape>
            <v:shape style="position:absolute;left:6133;top:4681;width:351;height:200" type="#_x0000_t202" filled="false" stroked="false">
              <v:textbox inset="0,0,0,0">
                <w:txbxContent>
                  <w:p>
                    <w:pPr>
                      <w:spacing w:line="200" w:lineRule="exact" w:before="0"/>
                      <w:ind w:left="0" w:right="0" w:firstLine="0"/>
                      <w:jc w:val="left"/>
                      <w:rPr>
                        <w:rFonts w:ascii="Calibri"/>
                        <w:sz w:val="20"/>
                      </w:rPr>
                    </w:pPr>
                    <w:r>
                      <w:rPr>
                        <w:rFonts w:ascii="Calibri"/>
                        <w:sz w:val="20"/>
                      </w:rPr>
                      <w:t>SAD</w:t>
                    </w:r>
                  </w:p>
                </w:txbxContent>
              </v:textbox>
              <w10:wrap type="none"/>
            </v:shape>
            <v:shape style="position:absolute;left:5485;top:4833;width:571;height:200" type="#_x0000_t202" filled="false" stroked="false">
              <v:textbox inset="0,0,0,0">
                <w:txbxContent>
                  <w:p>
                    <w:pPr>
                      <w:spacing w:line="200" w:lineRule="exact" w:before="0"/>
                      <w:ind w:left="0" w:right="0" w:firstLine="0"/>
                      <w:jc w:val="left"/>
                      <w:rPr>
                        <w:rFonts w:ascii="Calibri"/>
                        <w:b/>
                        <w:sz w:val="20"/>
                      </w:rPr>
                    </w:pPr>
                    <w:r>
                      <w:rPr>
                        <w:rFonts w:ascii="Calibri"/>
                        <w:b/>
                        <w:sz w:val="20"/>
                      </w:rPr>
                      <w:t>source</w:t>
                    </w:r>
                  </w:p>
                </w:txbxContent>
              </v:textbox>
              <w10:wrap type="none"/>
            </v:shape>
            <v:shape style="position:absolute;left:2772;top:4681;width:2666;height:200" type="#_x0000_t202" filled="false" stroked="false">
              <v:textbox inset="0,0,0,0">
                <w:txbxContent>
                  <w:p>
                    <w:pPr>
                      <w:tabs>
                        <w:tab w:pos="1081" w:val="left" w:leader="none"/>
                        <w:tab w:pos="2162" w:val="left" w:leader="none"/>
                      </w:tabs>
                      <w:spacing w:line="200" w:lineRule="exact" w:before="0"/>
                      <w:ind w:left="0" w:right="0" w:firstLine="0"/>
                      <w:jc w:val="left"/>
                      <w:rPr>
                        <w:rFonts w:ascii="Calibri"/>
                        <w:sz w:val="20"/>
                      </w:rPr>
                    </w:pPr>
                    <w:r>
                      <w:rPr>
                        <w:rFonts w:ascii="Calibri"/>
                        <w:sz w:val="20"/>
                      </w:rPr>
                      <w:t>SAA</w:t>
                      <w:tab/>
                      <w:t>SABZ</w:t>
                      <w:tab/>
                      <w:t>SBWC</w:t>
                    </w:r>
                  </w:p>
                </w:txbxContent>
              </v:textbox>
              <w10:wrap type="none"/>
            </v:shape>
            <v:shape style="position:absolute;left:7014;top:1314;width:386;height:200" type="#_x0000_t202" filled="false" stroked="false">
              <v:textbox inset="0,0,0,0">
                <w:txbxContent>
                  <w:p>
                    <w:pPr>
                      <w:spacing w:line="200" w:lineRule="exact" w:before="0"/>
                      <w:ind w:left="0" w:right="0" w:firstLine="0"/>
                      <w:jc w:val="left"/>
                      <w:rPr>
                        <w:rFonts w:ascii="Calibri"/>
                        <w:sz w:val="20"/>
                      </w:rPr>
                    </w:pPr>
                    <w:r>
                      <w:rPr>
                        <w:rFonts w:ascii="Calibri"/>
                        <w:sz w:val="20"/>
                      </w:rPr>
                      <w:t>Avril</w:t>
                    </w:r>
                  </w:p>
                </w:txbxContent>
              </v:textbox>
              <w10:wrap type="none"/>
            </v:shape>
            <v:shape style="position:absolute;left:5909;top:1314;width:434;height:200" type="#_x0000_t202" filled="false" stroked="false">
              <v:textbox inset="0,0,0,0">
                <w:txbxContent>
                  <w:p>
                    <w:pPr>
                      <w:spacing w:line="200" w:lineRule="exact" w:before="0"/>
                      <w:ind w:left="0" w:right="0" w:firstLine="0"/>
                      <w:jc w:val="left"/>
                      <w:rPr>
                        <w:rFonts w:ascii="Calibri"/>
                        <w:sz w:val="20"/>
                      </w:rPr>
                    </w:pPr>
                    <w:r>
                      <w:rPr>
                        <w:rFonts w:ascii="Calibri"/>
                        <w:sz w:val="20"/>
                      </w:rPr>
                      <w:t>Mars</w:t>
                    </w:r>
                  </w:p>
                </w:txbxContent>
              </v:textbox>
              <w10:wrap type="none"/>
            </v:shape>
            <v:shape style="position:absolute;left:4656;top:1314;width:585;height:200" type="#_x0000_t202" filled="false" stroked="false">
              <v:textbox inset="0,0,0,0">
                <w:txbxContent>
                  <w:p>
                    <w:pPr>
                      <w:spacing w:line="200" w:lineRule="exact" w:before="0"/>
                      <w:ind w:left="0" w:right="0" w:firstLine="0"/>
                      <w:jc w:val="left"/>
                      <w:rPr>
                        <w:rFonts w:ascii="Calibri" w:hAnsi="Calibri"/>
                        <w:sz w:val="20"/>
                      </w:rPr>
                    </w:pPr>
                    <w:r>
                      <w:rPr>
                        <w:rFonts w:ascii="Calibri" w:hAnsi="Calibri"/>
                        <w:sz w:val="20"/>
                      </w:rPr>
                      <w:t>Février</w:t>
                    </w:r>
                  </w:p>
                </w:txbxContent>
              </v:textbox>
              <w10:wrap type="none"/>
            </v:shape>
            <v:shape style="position:absolute;left:1910;top:1388;width:323;height:3185" type="#_x0000_t202" filled="false" stroked="false">
              <v:textbox inset="0,0,0,0">
                <w:txbxContent>
                  <w:p>
                    <w:pPr>
                      <w:spacing w:line="204" w:lineRule="exact" w:before="0"/>
                      <w:ind w:left="0" w:right="0" w:firstLine="0"/>
                      <w:jc w:val="left"/>
                      <w:rPr>
                        <w:rFonts w:ascii="Calibri"/>
                        <w:sz w:val="20"/>
                      </w:rPr>
                    </w:pPr>
                    <w:r>
                      <w:rPr>
                        <w:rFonts w:ascii="Calibri"/>
                        <w:sz w:val="20"/>
                      </w:rPr>
                      <w:t>450</w:t>
                    </w:r>
                  </w:p>
                  <w:p>
                    <w:pPr>
                      <w:spacing w:before="87"/>
                      <w:ind w:left="0" w:right="0" w:firstLine="0"/>
                      <w:jc w:val="left"/>
                      <w:rPr>
                        <w:rFonts w:ascii="Calibri"/>
                        <w:sz w:val="20"/>
                      </w:rPr>
                    </w:pPr>
                    <w:r>
                      <w:rPr>
                        <w:rFonts w:ascii="Calibri"/>
                        <w:sz w:val="20"/>
                      </w:rPr>
                      <w:t>400</w:t>
                    </w:r>
                  </w:p>
                  <w:p>
                    <w:pPr>
                      <w:spacing w:before="88"/>
                      <w:ind w:left="0" w:right="0" w:firstLine="0"/>
                      <w:jc w:val="left"/>
                      <w:rPr>
                        <w:rFonts w:ascii="Calibri"/>
                        <w:sz w:val="20"/>
                      </w:rPr>
                    </w:pPr>
                    <w:r>
                      <w:rPr>
                        <w:rFonts w:ascii="Calibri"/>
                        <w:sz w:val="20"/>
                      </w:rPr>
                      <w:t>350</w:t>
                    </w:r>
                  </w:p>
                  <w:p>
                    <w:pPr>
                      <w:spacing w:before="87"/>
                      <w:ind w:left="0" w:right="0" w:firstLine="0"/>
                      <w:jc w:val="left"/>
                      <w:rPr>
                        <w:rFonts w:ascii="Calibri"/>
                        <w:sz w:val="20"/>
                      </w:rPr>
                    </w:pPr>
                    <w:r>
                      <w:rPr>
                        <w:rFonts w:ascii="Calibri"/>
                        <w:sz w:val="20"/>
                      </w:rPr>
                      <w:t>300</w:t>
                    </w:r>
                  </w:p>
                  <w:p>
                    <w:pPr>
                      <w:spacing w:before="88"/>
                      <w:ind w:left="0" w:right="0" w:firstLine="0"/>
                      <w:jc w:val="left"/>
                      <w:rPr>
                        <w:rFonts w:ascii="Calibri"/>
                        <w:sz w:val="20"/>
                      </w:rPr>
                    </w:pPr>
                    <w:r>
                      <w:rPr>
                        <w:rFonts w:ascii="Calibri"/>
                        <w:spacing w:val="-2"/>
                        <w:sz w:val="20"/>
                      </w:rPr>
                      <w:t>250</w:t>
                    </w:r>
                  </w:p>
                  <w:p>
                    <w:pPr>
                      <w:spacing w:before="87"/>
                      <w:ind w:left="0" w:right="0" w:firstLine="0"/>
                      <w:jc w:val="left"/>
                      <w:rPr>
                        <w:rFonts w:ascii="Calibri"/>
                        <w:sz w:val="20"/>
                      </w:rPr>
                    </w:pPr>
                    <w:r>
                      <w:rPr>
                        <w:rFonts w:ascii="Calibri"/>
                        <w:sz w:val="20"/>
                      </w:rPr>
                      <w:t>200</w:t>
                    </w:r>
                  </w:p>
                  <w:p>
                    <w:pPr>
                      <w:spacing w:before="88"/>
                      <w:ind w:left="0" w:right="0" w:firstLine="0"/>
                      <w:jc w:val="left"/>
                      <w:rPr>
                        <w:rFonts w:ascii="Calibri"/>
                        <w:sz w:val="20"/>
                      </w:rPr>
                    </w:pPr>
                    <w:r>
                      <w:rPr>
                        <w:rFonts w:ascii="Calibri"/>
                        <w:sz w:val="20"/>
                      </w:rPr>
                      <w:t>150</w:t>
                    </w:r>
                  </w:p>
                  <w:p>
                    <w:pPr>
                      <w:spacing w:before="87"/>
                      <w:ind w:left="0" w:right="0" w:firstLine="0"/>
                      <w:jc w:val="left"/>
                      <w:rPr>
                        <w:rFonts w:ascii="Calibri"/>
                        <w:sz w:val="20"/>
                      </w:rPr>
                    </w:pPr>
                    <w:r>
                      <w:rPr>
                        <w:rFonts w:ascii="Calibri"/>
                        <w:sz w:val="20"/>
                      </w:rPr>
                      <w:t>100</w:t>
                    </w:r>
                  </w:p>
                  <w:p>
                    <w:pPr>
                      <w:spacing w:before="87"/>
                      <w:ind w:left="76" w:right="2" w:firstLine="0"/>
                      <w:jc w:val="center"/>
                      <w:rPr>
                        <w:rFonts w:ascii="Calibri"/>
                        <w:sz w:val="20"/>
                      </w:rPr>
                    </w:pPr>
                    <w:r>
                      <w:rPr>
                        <w:rFonts w:ascii="Calibri"/>
                        <w:sz w:val="20"/>
                      </w:rPr>
                      <w:t>50</w:t>
                    </w:r>
                  </w:p>
                  <w:p>
                    <w:pPr>
                      <w:spacing w:line="240" w:lineRule="exact" w:before="88"/>
                      <w:ind w:left="181" w:right="0" w:firstLine="0"/>
                      <w:jc w:val="center"/>
                      <w:rPr>
                        <w:rFonts w:ascii="Calibri"/>
                        <w:sz w:val="20"/>
                      </w:rPr>
                    </w:pPr>
                    <w:r>
                      <w:rPr>
                        <w:rFonts w:ascii="Calibri"/>
                        <w:sz w:val="20"/>
                      </w:rPr>
                      <w:t>0</w:t>
                    </w:r>
                  </w:p>
                </w:txbxContent>
              </v:textbox>
              <w10:wrap type="none"/>
            </v:shape>
            <w10:wrap type="none"/>
          </v:group>
        </w:pict>
      </w:r>
      <w:r>
        <w:rPr/>
        <w:pict>
          <v:shape style="position:absolute;margin-left:75.080101pt;margin-top:119.065826pt;width:12.05pt;height:86.85pt;mso-position-horizontal-relative:page;mso-position-vertical-relative:paragraph;z-index:4120" type="#_x0000_t202" filled="false" stroked="false">
            <v:textbox inset="0,0,0,0" style="layout-flow:vertical;mso-layout-flow-alt:bottom-to-top">
              <w:txbxContent>
                <w:p>
                  <w:pPr>
                    <w:spacing w:line="224" w:lineRule="exact" w:before="0"/>
                    <w:ind w:left="20" w:right="0" w:firstLine="0"/>
                    <w:jc w:val="left"/>
                    <w:rPr>
                      <w:rFonts w:ascii="Calibri"/>
                      <w:b/>
                      <w:sz w:val="20"/>
                    </w:rPr>
                  </w:pPr>
                  <w:r>
                    <w:rPr>
                      <w:rFonts w:ascii="Calibri"/>
                      <w:b/>
                      <w:sz w:val="20"/>
                    </w:rPr>
                    <w:t>valeur de TDS (mg/l)</w:t>
                  </w:r>
                </w:p>
              </w:txbxContent>
            </v:textbox>
            <w10:wrap type="none"/>
          </v:shape>
        </w:pict>
      </w:r>
      <w:r>
        <w:rPr/>
        <w:t>Le résultat minimal est enregistré au niveau de SABZ pendant le mois de février, et tous ces résultats présentent des valeurs inférieures à 1000 mg/l (norme de l’OMS (2011)).</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
        <w:rPr>
          <w:sz w:val="28"/>
        </w:rPr>
      </w:pPr>
    </w:p>
    <w:p>
      <w:pPr>
        <w:pStyle w:val="BodyText"/>
        <w:ind w:left="600" w:right="1338"/>
        <w:jc w:val="center"/>
      </w:pPr>
      <w:r>
        <w:rPr>
          <w:b/>
        </w:rPr>
        <w:t>Figure 14 : </w:t>
      </w:r>
      <w:r>
        <w:rPr/>
        <w:t>Evolution de la TDS dans les eaux des sources échantillonnée.</w:t>
      </w:r>
    </w:p>
    <w:p>
      <w:pPr>
        <w:spacing w:after="0"/>
        <w:jc w:val="center"/>
        <w:sectPr>
          <w:pgSz w:w="11900" w:h="16840"/>
          <w:pgMar w:header="727" w:footer="1061" w:top="1180" w:bottom="1260" w:left="740" w:right="0"/>
        </w:sectPr>
      </w:pPr>
    </w:p>
    <w:p>
      <w:pPr>
        <w:pStyle w:val="BodyText"/>
        <w:spacing w:before="4"/>
        <w:rPr>
          <w:sz w:val="16"/>
        </w:rPr>
      </w:pPr>
    </w:p>
    <w:p>
      <w:pPr>
        <w:pStyle w:val="Heading4"/>
        <w:numPr>
          <w:ilvl w:val="2"/>
          <w:numId w:val="27"/>
        </w:numPr>
        <w:tabs>
          <w:tab w:pos="1419" w:val="left" w:leader="none"/>
        </w:tabs>
        <w:spacing w:line="240" w:lineRule="auto" w:before="90" w:after="0"/>
        <w:ind w:left="1418" w:right="0" w:hanging="743"/>
        <w:jc w:val="left"/>
      </w:pPr>
      <w:bookmarkStart w:name="_TOC_250016" w:id="65"/>
      <w:r>
        <w:rPr/>
        <w:t>La turbidité</w:t>
      </w:r>
      <w:r>
        <w:rPr>
          <w:spacing w:val="1"/>
        </w:rPr>
        <w:t> </w:t>
      </w:r>
      <w:bookmarkEnd w:id="65"/>
      <w:r>
        <w:rPr/>
        <w:t>:</w:t>
      </w:r>
    </w:p>
    <w:p>
      <w:pPr>
        <w:pStyle w:val="BodyText"/>
        <w:spacing w:before="9"/>
        <w:rPr>
          <w:b/>
          <w:sz w:val="20"/>
        </w:rPr>
      </w:pPr>
    </w:p>
    <w:p>
      <w:pPr>
        <w:pStyle w:val="BodyText"/>
        <w:spacing w:line="273" w:lineRule="auto" w:before="1"/>
        <w:ind w:left="675" w:right="1424" w:firstLine="707"/>
        <w:jc w:val="both"/>
      </w:pPr>
      <w:r>
        <w:rPr/>
        <w:t>Pour ce paramètre les deux sources (SAA et SABZ) affichent des valeurs avoisinant les 2.5 NTU (figure 15), celle de SBWC une valeur de 1.14 NTU et les autres sources exhibent des valeurs inferieurs à 1 NTU (Figure</w:t>
      </w:r>
      <w:r>
        <w:rPr>
          <w:spacing w:val="-9"/>
        </w:rPr>
        <w:t> </w:t>
      </w:r>
      <w:r>
        <w:rPr/>
        <w:t>23).</w:t>
      </w:r>
    </w:p>
    <w:p>
      <w:pPr>
        <w:pStyle w:val="BodyText"/>
        <w:spacing w:line="273" w:lineRule="auto" w:before="207"/>
        <w:ind w:left="675" w:right="1427" w:firstLine="707"/>
        <w:jc w:val="both"/>
      </w:pPr>
      <w:r>
        <w:rPr/>
        <w:pict>
          <v:group style="position:absolute;margin-left:71.850334pt;margin-top:51.250542pt;width:427pt;height:205pt;mso-position-horizontal-relative:page;mso-position-vertical-relative:paragraph;z-index:4456" coordorigin="1437,1025" coordsize="8540,4100">
            <v:shape style="position:absolute;left:2640;top:1266;width:5829;height:2778" type="#_x0000_t75" stroked="false">
              <v:imagedata r:id="rId124" o:title=""/>
            </v:shape>
            <v:shape style="position:absolute;left:2615;top:1451;width:5619;height:2617" coordorigin="2615,1451" coordsize="5619,2617" path="m2675,4010l2613,4010m2675,3586l2613,3586m2675,3158l2613,3158m2675,2735l2613,2735m2675,2307l2613,2307m2675,1883l2613,1883m2675,1459l2613,1459m2673,4010l2673,4075m3601,4010l3601,4075m4524,4010l4524,4075m5451,4010l5451,4075m6379,4010l6379,4075m7302,4010l7302,4075m8228,4010l8228,4075e" filled="false" stroked="true" strokeweight=".999328pt" strokecolor="#858585">
              <v:path arrowok="t"/>
              <v:stroke dashstyle="solid"/>
            </v:shape>
            <v:rect style="position:absolute;left:4444;top:1479;width:110;height:110" filled="true" fillcolor="#4f81bc" stroked="false">
              <v:fill type="solid"/>
            </v:rect>
            <v:rect style="position:absolute;left:6026;top:1479;width:110;height:110" filled="true" fillcolor="#c0504d" stroked="false">
              <v:fill type="solid"/>
            </v:rect>
            <v:rect style="position:absolute;left:7412;top:1479;width:110;height:110" filled="true" fillcolor="#9bba58" stroked="false">
              <v:fill type="solid"/>
            </v:rect>
            <v:rect style="position:absolute;left:1446;top:1043;width:8515;height:4078" filled="false" stroked="true" strokeweight=".999328pt" strokecolor="#858585">
              <v:stroke dashstyle="solid"/>
            </v:rect>
            <v:shape style="position:absolute;left:5130;top:4638;width:667;height:200" type="#_x0000_t202" filled="false" stroked="false">
              <v:textbox inset="0,0,0,0">
                <w:txbxContent>
                  <w:p>
                    <w:pPr>
                      <w:spacing w:line="200" w:lineRule="exact" w:before="0"/>
                      <w:ind w:left="0" w:right="0" w:firstLine="0"/>
                      <w:jc w:val="left"/>
                      <w:rPr>
                        <w:rFonts w:ascii="Calibri"/>
                        <w:b/>
                        <w:sz w:val="20"/>
                      </w:rPr>
                    </w:pPr>
                    <w:r>
                      <w:rPr>
                        <w:rFonts w:ascii="Calibri"/>
                        <w:b/>
                        <w:sz w:val="20"/>
                      </w:rPr>
                      <w:t>Sources</w:t>
                    </w:r>
                  </w:p>
                </w:txbxContent>
              </v:textbox>
              <w10:wrap type="none"/>
            </v:shape>
            <v:shape style="position:absolute;left:7601;top:4240;width:346;height:200" type="#_x0000_t202" filled="false" stroked="false">
              <v:textbox inset="0,0,0,0">
                <w:txbxContent>
                  <w:p>
                    <w:pPr>
                      <w:spacing w:line="200" w:lineRule="exact" w:before="0"/>
                      <w:ind w:left="0" w:right="0" w:firstLine="0"/>
                      <w:jc w:val="left"/>
                      <w:rPr>
                        <w:rFonts w:ascii="Calibri"/>
                        <w:sz w:val="20"/>
                      </w:rPr>
                    </w:pPr>
                    <w:r>
                      <w:rPr>
                        <w:rFonts w:ascii="Calibri"/>
                        <w:sz w:val="20"/>
                      </w:rPr>
                      <w:t>SBG</w:t>
                    </w:r>
                  </w:p>
                </w:txbxContent>
              </v:textbox>
              <w10:wrap type="none"/>
            </v:shape>
            <v:shape style="position:absolute;left:6672;top:4240;width:354;height:200" type="#_x0000_t202" filled="false" stroked="false">
              <v:textbox inset="0,0,0,0">
                <w:txbxContent>
                  <w:p>
                    <w:pPr>
                      <w:spacing w:line="200" w:lineRule="exact" w:before="0"/>
                      <w:ind w:left="0" w:right="0" w:firstLine="0"/>
                      <w:jc w:val="left"/>
                      <w:rPr>
                        <w:rFonts w:ascii="Calibri"/>
                        <w:sz w:val="20"/>
                      </w:rPr>
                    </w:pPr>
                    <w:r>
                      <w:rPr>
                        <w:rFonts w:ascii="Calibri"/>
                        <w:sz w:val="20"/>
                      </w:rPr>
                      <w:t>SAG</w:t>
                    </w:r>
                  </w:p>
                </w:txbxContent>
              </v:textbox>
              <w10:wrap type="none"/>
            </v:shape>
            <v:shape style="position:absolute;left:5750;top:4240;width:351;height:200" type="#_x0000_t202" filled="false" stroked="false">
              <v:textbox inset="0,0,0,0">
                <w:txbxContent>
                  <w:p>
                    <w:pPr>
                      <w:spacing w:line="200" w:lineRule="exact" w:before="0"/>
                      <w:ind w:left="0" w:right="0" w:firstLine="0"/>
                      <w:jc w:val="left"/>
                      <w:rPr>
                        <w:rFonts w:ascii="Calibri"/>
                        <w:sz w:val="20"/>
                      </w:rPr>
                    </w:pPr>
                    <w:r>
                      <w:rPr>
                        <w:rFonts w:ascii="Calibri"/>
                        <w:sz w:val="20"/>
                      </w:rPr>
                      <w:t>SAD</w:t>
                    </w:r>
                  </w:p>
                </w:txbxContent>
              </v:textbox>
              <w10:wrap type="none"/>
            </v:shape>
            <v:shape style="position:absolute;left:4748;top:4240;width:503;height:200" type="#_x0000_t202" filled="false" stroked="false">
              <v:textbox inset="0,0,0,0">
                <w:txbxContent>
                  <w:p>
                    <w:pPr>
                      <w:spacing w:line="200" w:lineRule="exact" w:before="0"/>
                      <w:ind w:left="0" w:right="0" w:firstLine="0"/>
                      <w:jc w:val="left"/>
                      <w:rPr>
                        <w:rFonts w:ascii="Calibri"/>
                        <w:sz w:val="20"/>
                      </w:rPr>
                    </w:pPr>
                    <w:r>
                      <w:rPr>
                        <w:rFonts w:ascii="Calibri"/>
                        <w:sz w:val="20"/>
                      </w:rPr>
                      <w:t>SBWC</w:t>
                    </w:r>
                  </w:p>
                </w:txbxContent>
              </v:textbox>
              <w10:wrap type="none"/>
            </v:shape>
            <v:shape style="position:absolute;left:3858;top:4240;width:430;height:200" type="#_x0000_t202" filled="false" stroked="false">
              <v:textbox inset="0,0,0,0">
                <w:txbxContent>
                  <w:p>
                    <w:pPr>
                      <w:spacing w:line="200" w:lineRule="exact" w:before="0"/>
                      <w:ind w:left="0" w:right="0" w:firstLine="0"/>
                      <w:jc w:val="left"/>
                      <w:rPr>
                        <w:rFonts w:ascii="Calibri"/>
                        <w:sz w:val="20"/>
                      </w:rPr>
                    </w:pPr>
                    <w:r>
                      <w:rPr>
                        <w:rFonts w:ascii="Calibri"/>
                        <w:sz w:val="20"/>
                      </w:rPr>
                      <w:t>SABZ</w:t>
                    </w:r>
                  </w:p>
                </w:txbxContent>
              </v:textbox>
              <w10:wrap type="none"/>
            </v:shape>
            <v:shape style="position:absolute;left:2976;top:4240;width:344;height:200" type="#_x0000_t202" filled="false" stroked="false">
              <v:textbox inset="0,0,0,0">
                <w:txbxContent>
                  <w:p>
                    <w:pPr>
                      <w:spacing w:line="200" w:lineRule="exact" w:before="0"/>
                      <w:ind w:left="0" w:right="0" w:firstLine="0"/>
                      <w:jc w:val="left"/>
                      <w:rPr>
                        <w:rFonts w:ascii="Calibri"/>
                        <w:sz w:val="20"/>
                      </w:rPr>
                    </w:pPr>
                    <w:r>
                      <w:rPr>
                        <w:rFonts w:ascii="Calibri"/>
                        <w:sz w:val="20"/>
                      </w:rPr>
                      <w:t>SAA</w:t>
                    </w:r>
                  </w:p>
                </w:txbxContent>
              </v:textbox>
              <w10:wrap type="none"/>
            </v:shape>
            <v:shape style="position:absolute;left:2239;top:1804;width:270;height:2329" type="#_x0000_t202" filled="false" stroked="false">
              <v:textbox inset="0,0,0,0">
                <w:txbxContent>
                  <w:p>
                    <w:pPr>
                      <w:spacing w:line="204" w:lineRule="exact" w:before="0"/>
                      <w:ind w:left="-1" w:right="18" w:firstLine="0"/>
                      <w:jc w:val="center"/>
                      <w:rPr>
                        <w:rFonts w:ascii="Calibri"/>
                        <w:sz w:val="20"/>
                      </w:rPr>
                    </w:pPr>
                    <w:r>
                      <w:rPr>
                        <w:rFonts w:ascii="Calibri"/>
                        <w:spacing w:val="-1"/>
                        <w:sz w:val="20"/>
                      </w:rPr>
                      <w:t>2,5</w:t>
                    </w:r>
                  </w:p>
                  <w:p>
                    <w:pPr>
                      <w:spacing w:line="240" w:lineRule="auto" w:before="9"/>
                      <w:rPr>
                        <w:sz w:val="15"/>
                      </w:rPr>
                    </w:pPr>
                  </w:p>
                  <w:p>
                    <w:pPr>
                      <w:spacing w:before="0"/>
                      <w:ind w:left="127" w:right="0" w:firstLine="0"/>
                      <w:jc w:val="center"/>
                      <w:rPr>
                        <w:rFonts w:ascii="Calibri"/>
                        <w:sz w:val="20"/>
                      </w:rPr>
                    </w:pPr>
                    <w:r>
                      <w:rPr>
                        <w:rFonts w:ascii="Calibri"/>
                        <w:w w:val="100"/>
                        <w:sz w:val="20"/>
                      </w:rPr>
                      <w:t>2</w:t>
                    </w:r>
                  </w:p>
                  <w:p>
                    <w:pPr>
                      <w:spacing w:line="240" w:lineRule="auto" w:before="8"/>
                      <w:rPr>
                        <w:sz w:val="15"/>
                      </w:rPr>
                    </w:pPr>
                  </w:p>
                  <w:p>
                    <w:pPr>
                      <w:spacing w:before="0"/>
                      <w:ind w:left="-1" w:right="18" w:firstLine="0"/>
                      <w:jc w:val="center"/>
                      <w:rPr>
                        <w:rFonts w:ascii="Calibri"/>
                        <w:sz w:val="20"/>
                      </w:rPr>
                    </w:pPr>
                    <w:r>
                      <w:rPr>
                        <w:rFonts w:ascii="Calibri"/>
                        <w:spacing w:val="-1"/>
                        <w:sz w:val="20"/>
                      </w:rPr>
                      <w:t>1,5</w:t>
                    </w:r>
                  </w:p>
                  <w:p>
                    <w:pPr>
                      <w:spacing w:line="240" w:lineRule="auto" w:before="9"/>
                      <w:rPr>
                        <w:sz w:val="15"/>
                      </w:rPr>
                    </w:pPr>
                  </w:p>
                  <w:p>
                    <w:pPr>
                      <w:spacing w:before="1"/>
                      <w:ind w:left="127" w:right="0" w:firstLine="0"/>
                      <w:jc w:val="center"/>
                      <w:rPr>
                        <w:rFonts w:ascii="Calibri"/>
                        <w:sz w:val="20"/>
                      </w:rPr>
                    </w:pPr>
                    <w:r>
                      <w:rPr>
                        <w:rFonts w:ascii="Calibri"/>
                        <w:sz w:val="20"/>
                      </w:rPr>
                      <w:t>1</w:t>
                    </w:r>
                  </w:p>
                  <w:p>
                    <w:pPr>
                      <w:spacing w:line="240" w:lineRule="auto" w:before="8"/>
                      <w:rPr>
                        <w:sz w:val="15"/>
                      </w:rPr>
                    </w:pPr>
                  </w:p>
                  <w:p>
                    <w:pPr>
                      <w:spacing w:before="0"/>
                      <w:ind w:left="-1" w:right="18" w:firstLine="0"/>
                      <w:jc w:val="center"/>
                      <w:rPr>
                        <w:rFonts w:ascii="Calibri"/>
                        <w:sz w:val="20"/>
                      </w:rPr>
                    </w:pPr>
                    <w:r>
                      <w:rPr>
                        <w:rFonts w:ascii="Calibri"/>
                        <w:spacing w:val="-1"/>
                        <w:sz w:val="20"/>
                      </w:rPr>
                      <w:t>0,5</w:t>
                    </w:r>
                  </w:p>
                  <w:p>
                    <w:pPr>
                      <w:spacing w:line="240" w:lineRule="auto" w:before="10"/>
                      <w:rPr>
                        <w:sz w:val="15"/>
                      </w:rPr>
                    </w:pPr>
                  </w:p>
                  <w:p>
                    <w:pPr>
                      <w:spacing w:line="240" w:lineRule="exact" w:before="0"/>
                      <w:ind w:left="127" w:right="0" w:firstLine="0"/>
                      <w:jc w:val="center"/>
                      <w:rPr>
                        <w:rFonts w:ascii="Calibri"/>
                        <w:sz w:val="20"/>
                      </w:rPr>
                    </w:pPr>
                    <w:r>
                      <w:rPr>
                        <w:rFonts w:ascii="Calibri"/>
                        <w:sz w:val="20"/>
                      </w:rPr>
                      <w:t>0</w:t>
                    </w:r>
                  </w:p>
                </w:txbxContent>
              </v:textbox>
              <w10:wrap type="none"/>
            </v:shape>
            <v:shape style="position:absolute;left:7611;top:1444;width:386;height:200" type="#_x0000_t202" filled="false" stroked="false">
              <v:textbox inset="0,0,0,0">
                <w:txbxContent>
                  <w:p>
                    <w:pPr>
                      <w:spacing w:line="200" w:lineRule="exact" w:before="0"/>
                      <w:ind w:left="0" w:right="0" w:firstLine="0"/>
                      <w:jc w:val="left"/>
                      <w:rPr>
                        <w:rFonts w:ascii="Calibri"/>
                        <w:sz w:val="20"/>
                      </w:rPr>
                    </w:pPr>
                    <w:r>
                      <w:rPr>
                        <w:rFonts w:ascii="Calibri"/>
                        <w:sz w:val="20"/>
                      </w:rPr>
                      <w:t>Avril</w:t>
                    </w:r>
                  </w:p>
                </w:txbxContent>
              </v:textbox>
              <w10:wrap type="none"/>
            </v:shape>
            <v:shape style="position:absolute;left:6226;top:1444;width:434;height:200" type="#_x0000_t202" filled="false" stroked="false">
              <v:textbox inset="0,0,0,0">
                <w:txbxContent>
                  <w:p>
                    <w:pPr>
                      <w:spacing w:line="200" w:lineRule="exact" w:before="0"/>
                      <w:ind w:left="0" w:right="0" w:firstLine="0"/>
                      <w:jc w:val="left"/>
                      <w:rPr>
                        <w:rFonts w:ascii="Calibri"/>
                        <w:sz w:val="20"/>
                      </w:rPr>
                    </w:pPr>
                    <w:r>
                      <w:rPr>
                        <w:rFonts w:ascii="Calibri"/>
                        <w:sz w:val="20"/>
                      </w:rPr>
                      <w:t>Mars</w:t>
                    </w:r>
                  </w:p>
                </w:txbxContent>
              </v:textbox>
              <w10:wrap type="none"/>
            </v:shape>
            <v:shape style="position:absolute;left:4643;top:1444;width:585;height:200" type="#_x0000_t202" filled="false" stroked="false">
              <v:textbox inset="0,0,0,0">
                <w:txbxContent>
                  <w:p>
                    <w:pPr>
                      <w:spacing w:line="200" w:lineRule="exact" w:before="0"/>
                      <w:ind w:left="0" w:right="0" w:firstLine="0"/>
                      <w:jc w:val="left"/>
                      <w:rPr>
                        <w:rFonts w:ascii="Calibri" w:hAnsi="Calibri"/>
                        <w:sz w:val="20"/>
                      </w:rPr>
                    </w:pPr>
                    <w:r>
                      <w:rPr>
                        <w:rFonts w:ascii="Calibri" w:hAnsi="Calibri"/>
                        <w:sz w:val="20"/>
                      </w:rPr>
                      <w:t>Février</w:t>
                    </w:r>
                  </w:p>
                </w:txbxContent>
              </v:textbox>
              <w10:wrap type="none"/>
            </v:shape>
            <v:shape style="position:absolute;left:2387;top:1378;width:122;height:200" type="#_x0000_t202" filled="false" stroked="false">
              <v:textbox inset="0,0,0,0">
                <w:txbxContent>
                  <w:p>
                    <w:pPr>
                      <w:spacing w:line="200" w:lineRule="exact" w:before="0"/>
                      <w:ind w:left="0" w:right="0" w:firstLine="0"/>
                      <w:jc w:val="left"/>
                      <w:rPr>
                        <w:rFonts w:ascii="Calibri"/>
                        <w:sz w:val="20"/>
                      </w:rPr>
                    </w:pPr>
                    <w:r>
                      <w:rPr>
                        <w:rFonts w:ascii="Calibri"/>
                        <w:sz w:val="20"/>
                      </w:rPr>
                      <w:t>3</w:t>
                    </w:r>
                  </w:p>
                </w:txbxContent>
              </v:textbox>
              <w10:wrap type="none"/>
            </v:shape>
            <w10:wrap type="none"/>
          </v:group>
        </w:pict>
      </w:r>
      <w:r>
        <w:rPr/>
        <w:pict>
          <v:shape style="position:absolute;margin-left:92.718246pt;margin-top:81.879929pt;width:12.05pt;height:110.05pt;mso-position-horizontal-relative:page;mso-position-vertical-relative:paragraph;z-index:4480" type="#_x0000_t202" filled="false" stroked="false">
            <v:textbox inset="0,0,0,0" style="layout-flow:vertical;mso-layout-flow-alt:bottom-to-top">
              <w:txbxContent>
                <w:p>
                  <w:pPr>
                    <w:spacing w:line="224" w:lineRule="exact" w:before="0"/>
                    <w:ind w:left="20" w:right="0" w:firstLine="0"/>
                    <w:jc w:val="left"/>
                    <w:rPr>
                      <w:rFonts w:ascii="Calibri" w:hAnsi="Calibri"/>
                      <w:b/>
                      <w:sz w:val="20"/>
                    </w:rPr>
                  </w:pPr>
                  <w:r>
                    <w:rPr>
                      <w:rFonts w:ascii="Calibri" w:hAnsi="Calibri"/>
                      <w:b/>
                      <w:sz w:val="20"/>
                    </w:rPr>
                    <w:t>valeurs de turbidité (NTU)</w:t>
                  </w:r>
                </w:p>
              </w:txbxContent>
            </v:textbox>
            <w10:wrap type="none"/>
          </v:shape>
        </w:pict>
      </w:r>
      <w:r>
        <w:rPr/>
        <w:t>Toutes fois, ces résultats restent inférieurs par rapport à la norme fixer par l’OMS (2011) (5 NTU).</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5"/>
        <w:rPr>
          <w:sz w:val="29"/>
        </w:rPr>
      </w:pPr>
    </w:p>
    <w:p>
      <w:pPr>
        <w:pStyle w:val="BodyText"/>
        <w:spacing w:before="1"/>
        <w:ind w:left="1051"/>
      </w:pPr>
      <w:r>
        <w:rPr>
          <w:b/>
        </w:rPr>
        <w:t>Figure 15 : </w:t>
      </w:r>
      <w:r>
        <w:rPr/>
        <w:t>Variation mensuelle de la turbidité dans l’eau des sources échantillonnées.</w:t>
      </w:r>
    </w:p>
    <w:p>
      <w:pPr>
        <w:pStyle w:val="BodyText"/>
        <w:rPr>
          <w:sz w:val="26"/>
        </w:rPr>
      </w:pPr>
    </w:p>
    <w:p>
      <w:pPr>
        <w:pStyle w:val="BodyText"/>
        <w:rPr>
          <w:sz w:val="26"/>
        </w:rPr>
      </w:pPr>
    </w:p>
    <w:p>
      <w:pPr>
        <w:pStyle w:val="Heading4"/>
        <w:numPr>
          <w:ilvl w:val="2"/>
          <w:numId w:val="27"/>
        </w:numPr>
        <w:tabs>
          <w:tab w:pos="1420" w:val="left" w:leader="none"/>
        </w:tabs>
        <w:spacing w:line="240" w:lineRule="auto" w:before="165" w:after="0"/>
        <w:ind w:left="1419" w:right="0" w:hanging="744"/>
        <w:jc w:val="left"/>
      </w:pPr>
      <w:bookmarkStart w:name="_TOC_250015" w:id="66"/>
      <w:r>
        <w:rPr/>
        <w:t>La dureté totale (TH ° F)</w:t>
      </w:r>
      <w:r>
        <w:rPr>
          <w:spacing w:val="6"/>
        </w:rPr>
        <w:t> </w:t>
      </w:r>
      <w:bookmarkEnd w:id="66"/>
      <w:r>
        <w:rPr/>
        <w:t>:</w:t>
      </w:r>
    </w:p>
    <w:p>
      <w:pPr>
        <w:pStyle w:val="BodyText"/>
        <w:spacing w:before="6"/>
        <w:rPr>
          <w:b/>
          <w:sz w:val="20"/>
        </w:rPr>
      </w:pPr>
    </w:p>
    <w:p>
      <w:pPr>
        <w:pStyle w:val="BodyText"/>
        <w:spacing w:line="276" w:lineRule="auto"/>
        <w:ind w:left="675" w:right="1411"/>
        <w:jc w:val="both"/>
      </w:pPr>
      <w:r>
        <w:rPr/>
        <w:t>La figure ci-dessous regroupe les valeurs de la dureté, où nous constatons que les eaux étudiées ont des duretés importantes qui varient entre 26.2 ° F (minimum au point SABZ durant le mois d’avril) et 44.1 ° F (maximum au point SBG durant le même mois).</w:t>
      </w:r>
    </w:p>
    <w:p>
      <w:pPr>
        <w:pStyle w:val="BodyText"/>
        <w:spacing w:line="276" w:lineRule="auto" w:before="199"/>
        <w:ind w:left="675" w:right="1450"/>
      </w:pPr>
      <w:r>
        <w:rPr/>
        <w:t>Cette augmentation peut être expliquée par la nature de la zone d’étude qui peut être riche de sel Ca</w:t>
      </w:r>
      <w:r>
        <w:rPr>
          <w:vertAlign w:val="superscript"/>
        </w:rPr>
        <w:t>++</w:t>
      </w:r>
      <w:r>
        <w:rPr>
          <w:vertAlign w:val="baseline"/>
        </w:rPr>
        <w:t> et Mg</w:t>
      </w:r>
      <w:r>
        <w:rPr>
          <w:vertAlign w:val="superscript"/>
        </w:rPr>
        <w:t>++</w:t>
      </w:r>
      <w:r>
        <w:rPr>
          <w:vertAlign w:val="baseline"/>
        </w:rPr>
        <w:t>.</w:t>
      </w:r>
    </w:p>
    <w:p>
      <w:pPr>
        <w:spacing w:after="0" w:line="276" w:lineRule="auto"/>
        <w:sectPr>
          <w:pgSz w:w="11900" w:h="16840"/>
          <w:pgMar w:header="727" w:footer="1061" w:top="1180" w:bottom="1260" w:left="740" w:right="0"/>
        </w:sectPr>
      </w:pPr>
    </w:p>
    <w:p>
      <w:pPr>
        <w:pStyle w:val="BodyText"/>
        <w:rPr>
          <w:sz w:val="20"/>
        </w:rPr>
      </w:pPr>
      <w:r>
        <w:rPr/>
        <w:pict>
          <v:shape style="position:absolute;margin-left:78.471573pt;margin-top:147.61731pt;width:13pt;height:28.05pt;mso-position-horizontal-relative:page;mso-position-vertical-relative:page;z-index:4936" type="#_x0000_t202" filled="false" stroked="false">
            <v:textbox inset="0,0,0,0" style="layout-flow:vertical;mso-layout-flow-alt:bottom-to-top">
              <w:txbxContent>
                <w:p>
                  <w:pPr>
                    <w:spacing w:line="244" w:lineRule="exact" w:before="0"/>
                    <w:ind w:left="20" w:right="0" w:firstLine="0"/>
                    <w:jc w:val="left"/>
                    <w:rPr>
                      <w:rFonts w:ascii="Calibri" w:hAnsi="Calibri"/>
                      <w:b/>
                      <w:sz w:val="22"/>
                    </w:rPr>
                  </w:pPr>
                  <w:r>
                    <w:rPr>
                      <w:rFonts w:ascii="Calibri" w:hAnsi="Calibri"/>
                      <w:b/>
                      <w:sz w:val="22"/>
                    </w:rPr>
                    <w:t>TH ° F</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p>
      <w:pPr>
        <w:pStyle w:val="BodyText"/>
        <w:spacing w:before="90"/>
        <w:ind w:left="1430"/>
      </w:pPr>
      <w:r>
        <w:rPr/>
        <w:pict>
          <v:group style="position:absolute;margin-left:71.850334pt;margin-top:-222.143753pt;width:423.25pt;height:214.75pt;mso-position-horizontal-relative:page;mso-position-vertical-relative:paragraph;z-index:4624" coordorigin="1437,-4443" coordsize="8465,4295">
            <v:shape style="position:absolute;left:2295;top:-4200;width:7397;height:3404" type="#_x0000_t75" stroked="false">
              <v:imagedata r:id="rId125" o:title=""/>
            </v:shape>
            <v:shape style="position:absolute;left:2271;top:-3985;width:7140;height:3211" coordorigin="2271,-3985" coordsize="7140,3211" path="m2333,-831l2269,-831m2333,-1181l2269,-1181m2333,-1528l2269,-1528m2333,-1880l2269,-1880m2333,-2228l2269,-2228m2333,-2576l2269,-2576m2333,-2928l2269,-2928m2333,-3275l2269,-3275m2333,-3623l2269,-3623m2333,-3975l2269,-3975m2333,-829l2333,-766m3513,-829l3513,-766m4692,-829l4692,-766m5867,-829l5867,-766m7046,-829l7046,-766m8225,-829l8225,-766m9404,-829l9404,-766e" filled="false" stroked="true" strokeweight=".999328pt" strokecolor="#858585">
              <v:path arrowok="t"/>
              <v:stroke dashstyle="solid"/>
            </v:shape>
            <v:rect style="position:absolute;left:2876;top:-4073;width:110;height:110" filled="true" fillcolor="#4f81bc" stroked="false">
              <v:fill type="solid"/>
            </v:rect>
            <v:rect style="position:absolute;left:4663;top:-4073;width:110;height:110" filled="true" fillcolor="#c0504d" stroked="false">
              <v:fill type="solid"/>
            </v:rect>
            <v:rect style="position:absolute;left:6343;top:-4073;width:110;height:110" filled="true" fillcolor="#9bba58" stroked="false">
              <v:fill type="solid"/>
            </v:rect>
            <v:rect style="position:absolute;left:1446;top:-4423;width:8440;height:4273" filled="false" stroked="true" strokeweight=".999328pt" strokecolor="#858585">
              <v:stroke dashstyle="solid"/>
            </v:rect>
            <v:shape style="position:absolute;left:2760;top:-601;width:6237;height:383" type="#_x0000_t202" filled="false" stroked="false">
              <v:textbox inset="0,0,0,0">
                <w:txbxContent>
                  <w:p>
                    <w:pPr>
                      <w:tabs>
                        <w:tab w:pos="1134" w:val="left" w:leader="none"/>
                        <w:tab w:pos="2277" w:val="left" w:leader="none"/>
                        <w:tab w:pos="3532" w:val="left" w:leader="none"/>
                        <w:tab w:pos="4707" w:val="left" w:leader="none"/>
                        <w:tab w:pos="5890" w:val="left" w:leader="none"/>
                      </w:tabs>
                      <w:spacing w:line="173" w:lineRule="exact" w:before="0"/>
                      <w:ind w:left="0" w:right="18" w:firstLine="0"/>
                      <w:jc w:val="center"/>
                      <w:rPr>
                        <w:rFonts w:ascii="Calibri"/>
                        <w:sz w:val="20"/>
                      </w:rPr>
                    </w:pPr>
                    <w:r>
                      <w:rPr>
                        <w:rFonts w:ascii="Calibri"/>
                        <w:sz w:val="20"/>
                      </w:rPr>
                      <w:t>SAA</w:t>
                      <w:tab/>
                      <w:t>SABZ</w:t>
                      <w:tab/>
                      <w:t>SBWC</w:t>
                      <w:tab/>
                      <w:t>SAD</w:t>
                      <w:tab/>
                      <w:t>SAG</w:t>
                      <w:tab/>
                    </w:r>
                    <w:r>
                      <w:rPr>
                        <w:rFonts w:ascii="Calibri"/>
                        <w:spacing w:val="-9"/>
                        <w:sz w:val="20"/>
                      </w:rPr>
                      <w:t>SBG</w:t>
                    </w:r>
                  </w:p>
                  <w:p>
                    <w:pPr>
                      <w:spacing w:line="210" w:lineRule="exact" w:before="0"/>
                      <w:ind w:left="0" w:right="19" w:firstLine="0"/>
                      <w:jc w:val="center"/>
                      <w:rPr>
                        <w:rFonts w:ascii="Calibri"/>
                        <w:b/>
                        <w:sz w:val="20"/>
                      </w:rPr>
                    </w:pPr>
                    <w:r>
                      <w:rPr>
                        <w:rFonts w:ascii="Calibri"/>
                        <w:b/>
                        <w:sz w:val="20"/>
                      </w:rPr>
                      <w:t>Sources</w:t>
                    </w:r>
                  </w:p>
                </w:txbxContent>
              </v:textbox>
              <w10:wrap type="none"/>
            </v:shape>
            <v:shape style="position:absolute;left:6502;top:-4108;width:386;height:200" type="#_x0000_t202" filled="false" stroked="false">
              <v:textbox inset="0,0,0,0">
                <w:txbxContent>
                  <w:p>
                    <w:pPr>
                      <w:spacing w:line="200" w:lineRule="exact" w:before="0"/>
                      <w:ind w:left="0" w:right="0" w:firstLine="0"/>
                      <w:jc w:val="left"/>
                      <w:rPr>
                        <w:rFonts w:ascii="Calibri"/>
                        <w:sz w:val="20"/>
                      </w:rPr>
                    </w:pPr>
                    <w:r>
                      <w:rPr>
                        <w:rFonts w:ascii="Calibri"/>
                        <w:sz w:val="20"/>
                      </w:rPr>
                      <w:t>Avril</w:t>
                    </w:r>
                  </w:p>
                </w:txbxContent>
              </v:textbox>
              <w10:wrap type="none"/>
            </v:shape>
            <v:shape style="position:absolute;left:4822;top:-4108;width:434;height:200" type="#_x0000_t202" filled="false" stroked="false">
              <v:textbox inset="0,0,0,0">
                <w:txbxContent>
                  <w:p>
                    <w:pPr>
                      <w:spacing w:line="200" w:lineRule="exact" w:before="0"/>
                      <w:ind w:left="0" w:right="0" w:firstLine="0"/>
                      <w:jc w:val="left"/>
                      <w:rPr>
                        <w:rFonts w:ascii="Calibri"/>
                        <w:sz w:val="20"/>
                      </w:rPr>
                    </w:pPr>
                    <w:r>
                      <w:rPr>
                        <w:rFonts w:ascii="Calibri"/>
                        <w:sz w:val="20"/>
                      </w:rPr>
                      <w:t>Mars</w:t>
                    </w:r>
                  </w:p>
                </w:txbxContent>
              </v:textbox>
              <w10:wrap type="none"/>
            </v:shape>
            <v:shape style="position:absolute;left:3034;top:-4108;width:585;height:200" type="#_x0000_t202" filled="false" stroked="false">
              <v:textbox inset="0,0,0,0">
                <w:txbxContent>
                  <w:p>
                    <w:pPr>
                      <w:spacing w:line="200" w:lineRule="exact" w:before="0"/>
                      <w:ind w:left="0" w:right="0" w:firstLine="0"/>
                      <w:jc w:val="left"/>
                      <w:rPr>
                        <w:rFonts w:ascii="Calibri" w:hAnsi="Calibri"/>
                        <w:sz w:val="20"/>
                      </w:rPr>
                    </w:pPr>
                    <w:r>
                      <w:rPr>
                        <w:rFonts w:ascii="Calibri" w:hAnsi="Calibri"/>
                        <w:sz w:val="20"/>
                      </w:rPr>
                      <w:t>Février</w:t>
                    </w:r>
                  </w:p>
                </w:txbxContent>
              </v:textbox>
              <w10:wrap type="none"/>
            </v:shape>
            <v:shape style="position:absolute;left:1943;top:-4053;width:225;height:3344" type="#_x0000_t202" filled="false" stroked="false">
              <v:textbox inset="0,0,0,0">
                <w:txbxContent>
                  <w:p>
                    <w:pPr>
                      <w:spacing w:line="204" w:lineRule="exact" w:before="0"/>
                      <w:ind w:left="-1" w:right="22" w:firstLine="0"/>
                      <w:jc w:val="center"/>
                      <w:rPr>
                        <w:rFonts w:ascii="Calibri"/>
                        <w:sz w:val="20"/>
                      </w:rPr>
                    </w:pPr>
                    <w:r>
                      <w:rPr>
                        <w:rFonts w:ascii="Calibri"/>
                        <w:spacing w:val="-2"/>
                        <w:sz w:val="20"/>
                      </w:rPr>
                      <w:t>45</w:t>
                    </w:r>
                  </w:p>
                  <w:p>
                    <w:pPr>
                      <w:spacing w:before="105"/>
                      <w:ind w:left="-1" w:right="22" w:firstLine="0"/>
                      <w:jc w:val="center"/>
                      <w:rPr>
                        <w:rFonts w:ascii="Calibri"/>
                        <w:sz w:val="20"/>
                      </w:rPr>
                    </w:pPr>
                    <w:r>
                      <w:rPr>
                        <w:rFonts w:ascii="Calibri"/>
                        <w:spacing w:val="-2"/>
                        <w:sz w:val="20"/>
                      </w:rPr>
                      <w:t>40</w:t>
                    </w:r>
                  </w:p>
                  <w:p>
                    <w:pPr>
                      <w:spacing w:before="105"/>
                      <w:ind w:left="-1" w:right="22" w:firstLine="0"/>
                      <w:jc w:val="center"/>
                      <w:rPr>
                        <w:rFonts w:ascii="Calibri"/>
                        <w:sz w:val="20"/>
                      </w:rPr>
                    </w:pPr>
                    <w:r>
                      <w:rPr>
                        <w:rFonts w:ascii="Calibri"/>
                        <w:spacing w:val="-2"/>
                        <w:sz w:val="20"/>
                      </w:rPr>
                      <w:t>35</w:t>
                    </w:r>
                  </w:p>
                  <w:p>
                    <w:pPr>
                      <w:spacing w:before="105"/>
                      <w:ind w:left="-1" w:right="22" w:firstLine="0"/>
                      <w:jc w:val="center"/>
                      <w:rPr>
                        <w:rFonts w:ascii="Calibri"/>
                        <w:sz w:val="20"/>
                      </w:rPr>
                    </w:pPr>
                    <w:r>
                      <w:rPr>
                        <w:rFonts w:ascii="Calibri"/>
                        <w:spacing w:val="-2"/>
                        <w:sz w:val="20"/>
                      </w:rPr>
                      <w:t>30</w:t>
                    </w:r>
                  </w:p>
                  <w:p>
                    <w:pPr>
                      <w:spacing w:before="105"/>
                      <w:ind w:left="-1" w:right="22" w:firstLine="0"/>
                      <w:jc w:val="center"/>
                      <w:rPr>
                        <w:rFonts w:ascii="Calibri"/>
                        <w:sz w:val="20"/>
                      </w:rPr>
                    </w:pPr>
                    <w:r>
                      <w:rPr>
                        <w:rFonts w:ascii="Calibri"/>
                        <w:spacing w:val="-2"/>
                        <w:sz w:val="20"/>
                      </w:rPr>
                      <w:t>25</w:t>
                    </w:r>
                  </w:p>
                  <w:p>
                    <w:pPr>
                      <w:spacing w:before="105"/>
                      <w:ind w:left="-1" w:right="22" w:firstLine="0"/>
                      <w:jc w:val="center"/>
                      <w:rPr>
                        <w:rFonts w:ascii="Calibri"/>
                        <w:sz w:val="20"/>
                      </w:rPr>
                    </w:pPr>
                    <w:r>
                      <w:rPr>
                        <w:rFonts w:ascii="Calibri"/>
                        <w:spacing w:val="-2"/>
                        <w:sz w:val="20"/>
                      </w:rPr>
                      <w:t>20</w:t>
                    </w:r>
                  </w:p>
                  <w:p>
                    <w:pPr>
                      <w:spacing w:before="105"/>
                      <w:ind w:left="-1" w:right="22" w:firstLine="0"/>
                      <w:jc w:val="center"/>
                      <w:rPr>
                        <w:rFonts w:ascii="Calibri"/>
                        <w:sz w:val="20"/>
                      </w:rPr>
                    </w:pPr>
                    <w:r>
                      <w:rPr>
                        <w:rFonts w:ascii="Calibri"/>
                        <w:spacing w:val="-2"/>
                        <w:sz w:val="20"/>
                      </w:rPr>
                      <w:t>15</w:t>
                    </w:r>
                  </w:p>
                  <w:p>
                    <w:pPr>
                      <w:spacing w:before="105"/>
                      <w:ind w:left="-1" w:right="22" w:firstLine="0"/>
                      <w:jc w:val="center"/>
                      <w:rPr>
                        <w:rFonts w:ascii="Calibri"/>
                        <w:sz w:val="20"/>
                      </w:rPr>
                    </w:pPr>
                    <w:r>
                      <w:rPr>
                        <w:rFonts w:ascii="Calibri"/>
                        <w:spacing w:val="-2"/>
                        <w:sz w:val="20"/>
                      </w:rPr>
                      <w:t>10</w:t>
                    </w:r>
                  </w:p>
                  <w:p>
                    <w:pPr>
                      <w:spacing w:before="106"/>
                      <w:ind w:left="82" w:right="0" w:firstLine="0"/>
                      <w:jc w:val="center"/>
                      <w:rPr>
                        <w:rFonts w:ascii="Calibri"/>
                        <w:sz w:val="20"/>
                      </w:rPr>
                    </w:pPr>
                    <w:r>
                      <w:rPr>
                        <w:rFonts w:ascii="Calibri"/>
                        <w:sz w:val="20"/>
                      </w:rPr>
                      <w:t>5</w:t>
                    </w:r>
                  </w:p>
                  <w:p>
                    <w:pPr>
                      <w:spacing w:line="240" w:lineRule="exact" w:before="105"/>
                      <w:ind w:left="82" w:right="0" w:firstLine="0"/>
                      <w:jc w:val="center"/>
                      <w:rPr>
                        <w:rFonts w:ascii="Calibri"/>
                        <w:sz w:val="20"/>
                      </w:rPr>
                    </w:pPr>
                    <w:r>
                      <w:rPr>
                        <w:rFonts w:ascii="Calibri"/>
                        <w:sz w:val="20"/>
                      </w:rPr>
                      <w:t>0</w:t>
                    </w:r>
                  </w:p>
                </w:txbxContent>
              </v:textbox>
              <w10:wrap type="none"/>
            </v:shape>
            <w10:wrap type="none"/>
          </v:group>
        </w:pict>
      </w:r>
      <w:r>
        <w:rPr>
          <w:b/>
        </w:rPr>
        <w:t>Figure 16 : </w:t>
      </w:r>
      <w:r>
        <w:rPr/>
        <w:t>la variation de la dureté dans les eaux des sources échantillonnées.</w:t>
      </w:r>
    </w:p>
    <w:p>
      <w:pPr>
        <w:pStyle w:val="BodyText"/>
        <w:rPr>
          <w:sz w:val="26"/>
        </w:rPr>
      </w:pPr>
    </w:p>
    <w:p>
      <w:pPr>
        <w:pStyle w:val="BodyText"/>
        <w:rPr>
          <w:sz w:val="26"/>
        </w:rPr>
      </w:pPr>
    </w:p>
    <w:p>
      <w:pPr>
        <w:pStyle w:val="Heading4"/>
        <w:numPr>
          <w:ilvl w:val="2"/>
          <w:numId w:val="27"/>
        </w:numPr>
        <w:tabs>
          <w:tab w:pos="1419" w:val="left" w:leader="none"/>
        </w:tabs>
        <w:spacing w:line="240" w:lineRule="auto" w:before="162" w:after="0"/>
        <w:ind w:left="1418" w:right="0" w:hanging="743"/>
        <w:jc w:val="left"/>
      </w:pPr>
      <w:bookmarkStart w:name="_TOC_250014" w:id="67"/>
      <w:bookmarkEnd w:id="67"/>
      <w:r>
        <w:rPr/>
        <w:t>Taux d’alcalinité (TA) et taux d’alcalinité complet (TAC) :</w:t>
      </w:r>
    </w:p>
    <w:p>
      <w:pPr>
        <w:pStyle w:val="BodyText"/>
        <w:spacing w:before="9"/>
        <w:rPr>
          <w:b/>
          <w:sz w:val="20"/>
        </w:rPr>
      </w:pPr>
    </w:p>
    <w:p>
      <w:pPr>
        <w:pStyle w:val="BodyText"/>
        <w:spacing w:line="273" w:lineRule="auto" w:before="1"/>
        <w:ind w:left="675" w:right="1408"/>
      </w:pPr>
      <w:r>
        <w:rPr/>
        <w:t>Si le pH est compris entre 4.5 et 8.3, la concentration de TA est nulle. C’est le même cas pour nos eau analysées où nous avons obtenus des valeurs nulles de TA.</w:t>
      </w:r>
    </w:p>
    <w:p>
      <w:pPr>
        <w:pStyle w:val="BodyText"/>
        <w:spacing w:line="278" w:lineRule="auto" w:before="202"/>
        <w:ind w:left="675" w:right="1450" w:firstLine="119"/>
      </w:pPr>
      <w:r>
        <w:rPr/>
        <w:pict>
          <v:group style="position:absolute;margin-left:71.850334pt;margin-top:77.076332pt;width:432.25pt;height:217pt;mso-position-horizontal-relative:page;mso-position-vertical-relative:paragraph;z-index:4912" coordorigin="1437,1542" coordsize="8645,4340">
            <v:shape style="position:absolute;left:2453;top:1779;width:7081;height:3015" type="#_x0000_t75" stroked="false">
              <v:imagedata r:id="rId126" o:title=""/>
            </v:shape>
            <v:shape style="position:absolute;left:2431;top:1995;width:6830;height:2830" coordorigin="2431,1996" coordsize="6830,2830" path="m2494,4763l2429,4763m2494,4418l2429,4418m2494,4071l2429,4071m2494,3727l2429,3727m2494,3383l2429,3383m2494,3035l2429,3035m2494,2692l2429,2692m2494,2344l2429,2344m2494,2000l2429,2000m2493,4762l2493,4827m3621,4762l3621,4827m4748,4762l4748,4827m5875,4762l5875,4827m7002,4762l7002,4827m8130,4762l8130,4827m9254,4762l9254,4827e" filled="false" stroked="true" strokeweight=".999328pt" strokecolor="#858585">
              <v:path arrowok="t"/>
              <v:stroke dashstyle="solid"/>
            </v:shape>
            <v:rect style="position:absolute;left:4142;top:1821;width:110;height:110" filled="true" fillcolor="#4f81bc" stroked="false">
              <v:fill type="solid"/>
            </v:rect>
            <v:rect style="position:absolute;left:5726;top:1821;width:110;height:110" filled="true" fillcolor="#c0504d" stroked="false">
              <v:fill type="solid"/>
            </v:rect>
            <v:rect style="position:absolute;left:7113;top:1821;width:110;height:110" filled="true" fillcolor="#9bba58" stroked="false">
              <v:fill type="solid"/>
            </v:rect>
            <v:rect style="position:absolute;left:1446;top:1556;width:8620;height:4318" filled="false" stroked="true" strokeweight=".999328pt" strokecolor="#858585">
              <v:stroke dashstyle="solid"/>
            </v:rect>
            <v:shape style="position:absolute;left:5558;top:5388;width:651;height:200" type="#_x0000_t202" filled="false" stroked="false">
              <v:textbox inset="0,0,0,0">
                <w:txbxContent>
                  <w:p>
                    <w:pPr>
                      <w:spacing w:line="200" w:lineRule="exact" w:before="0"/>
                      <w:ind w:left="0" w:right="0" w:firstLine="0"/>
                      <w:jc w:val="left"/>
                      <w:rPr>
                        <w:rFonts w:ascii="Calibri"/>
                        <w:b/>
                        <w:sz w:val="20"/>
                      </w:rPr>
                    </w:pPr>
                    <w:r>
                      <w:rPr>
                        <w:rFonts w:ascii="Calibri"/>
                        <w:b/>
                        <w:sz w:val="20"/>
                      </w:rPr>
                      <w:t>sources</w:t>
                    </w:r>
                  </w:p>
                </w:txbxContent>
              </v:textbox>
              <w10:wrap type="none"/>
            </v:shape>
            <v:shape style="position:absolute;left:8530;top:4994;width:346;height:200" type="#_x0000_t202" filled="false" stroked="false">
              <v:textbox inset="0,0,0,0">
                <w:txbxContent>
                  <w:p>
                    <w:pPr>
                      <w:spacing w:line="200" w:lineRule="exact" w:before="0"/>
                      <w:ind w:left="0" w:right="0" w:firstLine="0"/>
                      <w:jc w:val="left"/>
                      <w:rPr>
                        <w:rFonts w:ascii="Calibri"/>
                        <w:sz w:val="20"/>
                      </w:rPr>
                    </w:pPr>
                    <w:r>
                      <w:rPr>
                        <w:rFonts w:ascii="Calibri"/>
                        <w:sz w:val="20"/>
                      </w:rPr>
                      <w:t>SBG</w:t>
                    </w:r>
                  </w:p>
                </w:txbxContent>
              </v:textbox>
              <w10:wrap type="none"/>
            </v:shape>
            <v:shape style="position:absolute;left:7399;top:4994;width:354;height:200" type="#_x0000_t202" filled="false" stroked="false">
              <v:textbox inset="0,0,0,0">
                <w:txbxContent>
                  <w:p>
                    <w:pPr>
                      <w:spacing w:line="200" w:lineRule="exact" w:before="0"/>
                      <w:ind w:left="0" w:right="0" w:firstLine="0"/>
                      <w:jc w:val="left"/>
                      <w:rPr>
                        <w:rFonts w:ascii="Calibri"/>
                        <w:sz w:val="20"/>
                      </w:rPr>
                    </w:pPr>
                    <w:r>
                      <w:rPr>
                        <w:rFonts w:ascii="Calibri"/>
                        <w:sz w:val="20"/>
                      </w:rPr>
                      <w:t>SAG</w:t>
                    </w:r>
                  </w:p>
                </w:txbxContent>
              </v:textbox>
              <w10:wrap type="none"/>
            </v:shape>
            <v:shape style="position:absolute;left:6272;top:4994;width:351;height:200" type="#_x0000_t202" filled="false" stroked="false">
              <v:textbox inset="0,0,0,0">
                <w:txbxContent>
                  <w:p>
                    <w:pPr>
                      <w:spacing w:line="200" w:lineRule="exact" w:before="0"/>
                      <w:ind w:left="0" w:right="0" w:firstLine="0"/>
                      <w:jc w:val="left"/>
                      <w:rPr>
                        <w:rFonts w:ascii="Calibri"/>
                        <w:sz w:val="20"/>
                      </w:rPr>
                    </w:pPr>
                    <w:r>
                      <w:rPr>
                        <w:rFonts w:ascii="Calibri"/>
                        <w:sz w:val="20"/>
                      </w:rPr>
                      <w:t>SAD</w:t>
                    </w:r>
                  </w:p>
                </w:txbxContent>
              </v:textbox>
              <w10:wrap type="none"/>
            </v:shape>
            <v:shape style="position:absolute;left:5069;top:4994;width:503;height:200" type="#_x0000_t202" filled="false" stroked="false">
              <v:textbox inset="0,0,0,0">
                <w:txbxContent>
                  <w:p>
                    <w:pPr>
                      <w:spacing w:line="200" w:lineRule="exact" w:before="0"/>
                      <w:ind w:left="0" w:right="0" w:firstLine="0"/>
                      <w:jc w:val="left"/>
                      <w:rPr>
                        <w:rFonts w:ascii="Calibri"/>
                        <w:sz w:val="20"/>
                      </w:rPr>
                    </w:pPr>
                    <w:r>
                      <w:rPr>
                        <w:rFonts w:ascii="Calibri"/>
                        <w:sz w:val="20"/>
                      </w:rPr>
                      <w:t>SBWC</w:t>
                    </w:r>
                  </w:p>
                </w:txbxContent>
              </v:textbox>
              <w10:wrap type="none"/>
            </v:shape>
            <v:shape style="position:absolute;left:3982;top:4994;width:430;height:200" type="#_x0000_t202" filled="false" stroked="false">
              <v:textbox inset="0,0,0,0">
                <w:txbxContent>
                  <w:p>
                    <w:pPr>
                      <w:spacing w:line="200" w:lineRule="exact" w:before="0"/>
                      <w:ind w:left="0" w:right="0" w:firstLine="0"/>
                      <w:jc w:val="left"/>
                      <w:rPr>
                        <w:rFonts w:ascii="Calibri"/>
                        <w:sz w:val="20"/>
                      </w:rPr>
                    </w:pPr>
                    <w:r>
                      <w:rPr>
                        <w:rFonts w:ascii="Calibri"/>
                        <w:sz w:val="20"/>
                      </w:rPr>
                      <w:t>SABZ</w:t>
                    </w:r>
                  </w:p>
                </w:txbxContent>
              </v:textbox>
              <w10:wrap type="none"/>
            </v:shape>
            <v:shape style="position:absolute;left:2895;top:4994;width:344;height:200" type="#_x0000_t202" filled="false" stroked="false">
              <v:textbox inset="0,0,0,0">
                <w:txbxContent>
                  <w:p>
                    <w:pPr>
                      <w:spacing w:line="200" w:lineRule="exact" w:before="0"/>
                      <w:ind w:left="0" w:right="0" w:firstLine="0"/>
                      <w:jc w:val="left"/>
                      <w:rPr>
                        <w:rFonts w:ascii="Calibri"/>
                        <w:sz w:val="20"/>
                      </w:rPr>
                    </w:pPr>
                    <w:r>
                      <w:rPr>
                        <w:rFonts w:ascii="Calibri"/>
                        <w:sz w:val="20"/>
                      </w:rPr>
                      <w:t>SAA</w:t>
                    </w:r>
                  </w:p>
                </w:txbxContent>
              </v:textbox>
              <w10:wrap type="none"/>
            </v:shape>
            <v:shape style="position:absolute;left:7272;top:1787;width:386;height:200" type="#_x0000_t202" filled="false" stroked="false">
              <v:textbox inset="0,0,0,0">
                <w:txbxContent>
                  <w:p>
                    <w:pPr>
                      <w:spacing w:line="200" w:lineRule="exact" w:before="0"/>
                      <w:ind w:left="0" w:right="0" w:firstLine="0"/>
                      <w:jc w:val="left"/>
                      <w:rPr>
                        <w:rFonts w:ascii="Calibri"/>
                        <w:sz w:val="20"/>
                      </w:rPr>
                    </w:pPr>
                    <w:r>
                      <w:rPr>
                        <w:rFonts w:ascii="Calibri"/>
                        <w:sz w:val="20"/>
                      </w:rPr>
                      <w:t>Avril</w:t>
                    </w:r>
                  </w:p>
                </w:txbxContent>
              </v:textbox>
              <w10:wrap type="none"/>
            </v:shape>
            <v:shape style="position:absolute;left:5885;top:1787;width:434;height:200" type="#_x0000_t202" filled="false" stroked="false">
              <v:textbox inset="0,0,0,0">
                <w:txbxContent>
                  <w:p>
                    <w:pPr>
                      <w:spacing w:line="200" w:lineRule="exact" w:before="0"/>
                      <w:ind w:left="0" w:right="0" w:firstLine="0"/>
                      <w:jc w:val="left"/>
                      <w:rPr>
                        <w:rFonts w:ascii="Calibri"/>
                        <w:sz w:val="20"/>
                      </w:rPr>
                    </w:pPr>
                    <w:r>
                      <w:rPr>
                        <w:rFonts w:ascii="Calibri"/>
                        <w:sz w:val="20"/>
                      </w:rPr>
                      <w:t>Mars</w:t>
                    </w:r>
                  </w:p>
                </w:txbxContent>
              </v:textbox>
              <w10:wrap type="none"/>
            </v:shape>
            <v:shape style="position:absolute;left:4301;top:1787;width:585;height:200" type="#_x0000_t202" filled="false" stroked="false">
              <v:textbox inset="0,0,0,0">
                <w:txbxContent>
                  <w:p>
                    <w:pPr>
                      <w:spacing w:line="200" w:lineRule="exact" w:before="0"/>
                      <w:ind w:left="0" w:right="0" w:firstLine="0"/>
                      <w:jc w:val="left"/>
                      <w:rPr>
                        <w:rFonts w:ascii="Calibri" w:hAnsi="Calibri"/>
                        <w:sz w:val="20"/>
                      </w:rPr>
                    </w:pPr>
                    <w:r>
                      <w:rPr>
                        <w:rFonts w:ascii="Calibri" w:hAnsi="Calibri"/>
                        <w:sz w:val="20"/>
                      </w:rPr>
                      <w:t>Février</w:t>
                    </w:r>
                  </w:p>
                </w:txbxContent>
              </v:textbox>
              <w10:wrap type="none"/>
            </v:shape>
            <v:shape style="position:absolute;left:2106;top:1922;width:220;height:2964" type="#_x0000_t202" filled="false" stroked="false">
              <v:textbox inset="0,0,0,0">
                <w:txbxContent>
                  <w:p>
                    <w:pPr>
                      <w:spacing w:line="204" w:lineRule="exact" w:before="0"/>
                      <w:ind w:left="0" w:right="0" w:firstLine="0"/>
                      <w:jc w:val="left"/>
                      <w:rPr>
                        <w:rFonts w:ascii="Calibri"/>
                        <w:sz w:val="20"/>
                      </w:rPr>
                    </w:pPr>
                    <w:r>
                      <w:rPr>
                        <w:rFonts w:ascii="Calibri"/>
                        <w:sz w:val="20"/>
                      </w:rPr>
                      <w:t>40</w:t>
                    </w:r>
                  </w:p>
                  <w:p>
                    <w:pPr>
                      <w:spacing w:before="101"/>
                      <w:ind w:left="0" w:right="0" w:firstLine="0"/>
                      <w:jc w:val="left"/>
                      <w:rPr>
                        <w:rFonts w:ascii="Calibri"/>
                        <w:sz w:val="20"/>
                      </w:rPr>
                    </w:pPr>
                    <w:r>
                      <w:rPr>
                        <w:rFonts w:ascii="Calibri"/>
                        <w:sz w:val="20"/>
                      </w:rPr>
                      <w:t>35</w:t>
                    </w:r>
                  </w:p>
                  <w:p>
                    <w:pPr>
                      <w:spacing w:before="101"/>
                      <w:ind w:left="0" w:right="0" w:firstLine="0"/>
                      <w:jc w:val="left"/>
                      <w:rPr>
                        <w:rFonts w:ascii="Calibri"/>
                        <w:sz w:val="20"/>
                      </w:rPr>
                    </w:pPr>
                    <w:r>
                      <w:rPr>
                        <w:rFonts w:ascii="Calibri"/>
                        <w:sz w:val="20"/>
                      </w:rPr>
                      <w:t>30</w:t>
                    </w:r>
                  </w:p>
                  <w:p>
                    <w:pPr>
                      <w:spacing w:before="102"/>
                      <w:ind w:left="0" w:right="0" w:firstLine="0"/>
                      <w:jc w:val="left"/>
                      <w:rPr>
                        <w:rFonts w:ascii="Calibri"/>
                        <w:sz w:val="20"/>
                      </w:rPr>
                    </w:pPr>
                    <w:r>
                      <w:rPr>
                        <w:rFonts w:ascii="Calibri"/>
                        <w:sz w:val="20"/>
                      </w:rPr>
                      <w:t>25</w:t>
                    </w:r>
                  </w:p>
                  <w:p>
                    <w:pPr>
                      <w:spacing w:before="101"/>
                      <w:ind w:left="0" w:right="0" w:firstLine="0"/>
                      <w:jc w:val="left"/>
                      <w:rPr>
                        <w:rFonts w:ascii="Calibri"/>
                        <w:sz w:val="20"/>
                      </w:rPr>
                    </w:pPr>
                    <w:r>
                      <w:rPr>
                        <w:rFonts w:ascii="Calibri"/>
                        <w:sz w:val="20"/>
                      </w:rPr>
                      <w:t>20</w:t>
                    </w:r>
                  </w:p>
                  <w:p>
                    <w:pPr>
                      <w:spacing w:before="101"/>
                      <w:ind w:left="0" w:right="0" w:firstLine="0"/>
                      <w:jc w:val="left"/>
                      <w:rPr>
                        <w:rFonts w:ascii="Calibri"/>
                        <w:sz w:val="20"/>
                      </w:rPr>
                    </w:pPr>
                    <w:r>
                      <w:rPr>
                        <w:rFonts w:ascii="Calibri"/>
                        <w:sz w:val="20"/>
                      </w:rPr>
                      <w:t>15</w:t>
                    </w:r>
                  </w:p>
                  <w:p>
                    <w:pPr>
                      <w:spacing w:before="102"/>
                      <w:ind w:left="0" w:right="0" w:firstLine="0"/>
                      <w:jc w:val="left"/>
                      <w:rPr>
                        <w:rFonts w:ascii="Calibri"/>
                        <w:sz w:val="20"/>
                      </w:rPr>
                    </w:pPr>
                    <w:r>
                      <w:rPr>
                        <w:rFonts w:ascii="Calibri"/>
                        <w:sz w:val="20"/>
                      </w:rPr>
                      <w:t>10</w:t>
                    </w:r>
                  </w:p>
                  <w:p>
                    <w:pPr>
                      <w:spacing w:before="101"/>
                      <w:ind w:left="98" w:right="0" w:firstLine="0"/>
                      <w:jc w:val="left"/>
                      <w:rPr>
                        <w:rFonts w:ascii="Calibri"/>
                        <w:sz w:val="20"/>
                      </w:rPr>
                    </w:pPr>
                    <w:r>
                      <w:rPr>
                        <w:rFonts w:ascii="Calibri"/>
                        <w:sz w:val="20"/>
                      </w:rPr>
                      <w:t>5</w:t>
                    </w:r>
                  </w:p>
                  <w:p>
                    <w:pPr>
                      <w:spacing w:line="240" w:lineRule="exact" w:before="102"/>
                      <w:ind w:left="98" w:right="0" w:firstLine="0"/>
                      <w:jc w:val="left"/>
                      <w:rPr>
                        <w:rFonts w:ascii="Calibri"/>
                        <w:sz w:val="20"/>
                      </w:rPr>
                    </w:pPr>
                    <w:r>
                      <w:rPr>
                        <w:rFonts w:ascii="Calibri"/>
                        <w:sz w:val="20"/>
                      </w:rPr>
                      <w:t>0</w:t>
                    </w:r>
                  </w:p>
                </w:txbxContent>
              </v:textbox>
              <w10:wrap type="none"/>
            </v:shape>
            <w10:wrap type="none"/>
          </v:group>
        </w:pict>
      </w:r>
      <w:r>
        <w:rPr/>
        <w:pict>
          <v:shape style="position:absolute;margin-left:86.666061pt;margin-top:137.190826pt;width:12pt;height:64.2pt;mso-position-horizontal-relative:page;mso-position-vertical-relative:paragraph;z-index:4960" type="#_x0000_t202" filled="false" stroked="false">
            <v:textbox inset="0,0,0,0" style="layout-flow:vertical;mso-layout-flow-alt:bottom-to-top">
              <w:txbxContent>
                <w:p>
                  <w:pPr>
                    <w:spacing w:line="224" w:lineRule="exact" w:before="0"/>
                    <w:ind w:left="20" w:right="0" w:firstLine="0"/>
                    <w:jc w:val="left"/>
                    <w:rPr>
                      <w:rFonts w:ascii="Calibri"/>
                      <w:b/>
                      <w:sz w:val="20"/>
                    </w:rPr>
                  </w:pPr>
                  <w:r>
                    <w:rPr>
                      <w:rFonts w:ascii="Calibri"/>
                      <w:b/>
                      <w:sz w:val="20"/>
                    </w:rPr>
                    <w:t>Valeurs de TAC</w:t>
                  </w:r>
                </w:p>
              </w:txbxContent>
            </v:textbox>
            <w10:wrap type="none"/>
          </v:shape>
        </w:pict>
      </w:r>
      <w:r>
        <w:rPr/>
        <w:t>Nous observons, également que les valeurs de TAC de 06 sources de prélèvement varient entre 20.3 et 35.8 durant la période d’étude (Figure 17).</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91"/>
        <w:ind w:left="1155"/>
      </w:pPr>
      <w:r>
        <w:rPr>
          <w:b/>
        </w:rPr>
        <w:t>Figure 17: </w:t>
      </w:r>
      <w:r>
        <w:rPr/>
        <w:t>Variations du TAC dans les eaux de sources échantillonnées.</w:t>
      </w:r>
    </w:p>
    <w:p>
      <w:pPr>
        <w:spacing w:after="0"/>
        <w:sectPr>
          <w:pgSz w:w="11900" w:h="16840"/>
          <w:pgMar w:header="727" w:footer="1061" w:top="1180" w:bottom="1260" w:left="740" w:right="0"/>
        </w:sectPr>
      </w:pPr>
    </w:p>
    <w:p>
      <w:pPr>
        <w:pStyle w:val="BodyText"/>
        <w:spacing w:before="9"/>
        <w:rPr>
          <w:sz w:val="12"/>
        </w:rPr>
      </w:pPr>
    </w:p>
    <w:p>
      <w:pPr>
        <w:pStyle w:val="Heading4"/>
        <w:numPr>
          <w:ilvl w:val="2"/>
          <w:numId w:val="27"/>
        </w:numPr>
        <w:tabs>
          <w:tab w:pos="1539" w:val="left" w:leader="none"/>
        </w:tabs>
        <w:spacing w:line="240" w:lineRule="auto" w:before="131" w:after="0"/>
        <w:ind w:left="1538" w:right="0" w:hanging="863"/>
        <w:jc w:val="left"/>
      </w:pPr>
      <w:r>
        <w:rPr/>
        <w:pict>
          <v:shape style="position:absolute;margin-left:239.918716pt;margin-top:12.237926pt;width:4pt;height:8.9pt;mso-position-horizontal-relative:page;mso-position-vertical-relative:paragraph;z-index:-132232" type="#_x0000_t202" filled="false" stroked="false">
            <v:textbox inset="0,0,0,0">
              <w:txbxContent>
                <w:p>
                  <w:pPr>
                    <w:spacing w:line="177" w:lineRule="exact" w:before="0"/>
                    <w:ind w:left="0" w:right="0" w:firstLine="0"/>
                    <w:jc w:val="left"/>
                    <w:rPr>
                      <w:b/>
                      <w:sz w:val="16"/>
                    </w:rPr>
                  </w:pPr>
                  <w:r>
                    <w:rPr>
                      <w:b/>
                      <w:sz w:val="16"/>
                    </w:rPr>
                    <w:t>4</w:t>
                  </w:r>
                </w:p>
              </w:txbxContent>
            </v:textbox>
            <w10:wrap type="none"/>
          </v:shape>
        </w:pict>
      </w:r>
      <w:r>
        <w:rPr/>
        <w:t>Les orthophosphates PO </w:t>
      </w:r>
      <w:r>
        <w:rPr>
          <w:vertAlign w:val="superscript"/>
        </w:rPr>
        <w:t>3</w:t>
      </w:r>
      <w:r>
        <w:rPr>
          <w:spacing w:val="-38"/>
          <w:vertAlign w:val="baseline"/>
        </w:rPr>
        <w:t> </w:t>
      </w:r>
      <w:r>
        <w:rPr>
          <w:vertAlign w:val="baseline"/>
        </w:rPr>
        <w:t>:</w:t>
      </w:r>
    </w:p>
    <w:p>
      <w:pPr>
        <w:pStyle w:val="BodyText"/>
        <w:spacing w:line="276" w:lineRule="auto" w:before="240"/>
        <w:ind w:left="675" w:right="1418"/>
        <w:jc w:val="both"/>
      </w:pPr>
      <w:r>
        <w:rPr/>
        <w:pict>
          <v:group style="position:absolute;margin-left:76.350334pt;margin-top:120.681839pt;width:433pt;height:201.25pt;mso-position-horizontal-relative:page;mso-position-vertical-relative:paragraph;z-index:5272" coordorigin="1527,2414" coordsize="8660,4025">
            <v:shape style="position:absolute;left:2744;top:2655;width:6699;height:2706" type="#_x0000_t75" stroked="false">
              <v:imagedata r:id="rId127" o:title=""/>
            </v:shape>
            <v:shape style="position:absolute;left:2721;top:2859;width:6464;height:2523" coordorigin="2721,2860" coordsize="6464,2523" path="m2784,5324l2719,5324m2784,4914l2719,4914m2784,4507l2719,4507m2784,4095l2719,4095m2784,3687l2719,3687m2784,3276l2719,3276m2784,2868l2719,2868m2783,5326l2783,5389m3850,5326l3850,5389m4914,5326l4914,5389m5981,5326l5981,5389m7048,5326l7048,5389m8112,5326l8112,5389m9178,5326l9178,5389e" filled="false" stroked="true" strokeweight=".999328pt" strokecolor="#858585">
              <v:path arrowok="t"/>
              <v:stroke dashstyle="solid"/>
            </v:shape>
            <v:rect style="position:absolute;left:3762;top:2748;width:110;height:110" filled="true" fillcolor="#4f81bc" stroked="false">
              <v:fill type="solid"/>
            </v:rect>
            <v:rect style="position:absolute;left:5429;top:2748;width:110;height:110" filled="true" fillcolor="#c0504d" stroked="false">
              <v:fill type="solid"/>
            </v:rect>
            <v:rect style="position:absolute;left:6945;top:2748;width:110;height:110" filled="true" fillcolor="#9bba58" stroked="false">
              <v:fill type="solid"/>
            </v:rect>
            <v:rect style="position:absolute;left:1535;top:2432;width:8635;height:4003" filled="false" stroked="true" strokeweight=".999328pt" strokecolor="#858585">
              <v:stroke dashstyle="solid"/>
            </v:rect>
            <v:shape style="position:absolute;left:5659;top:5948;width:667;height:200" type="#_x0000_t202" filled="false" stroked="false">
              <v:textbox inset="0,0,0,0">
                <w:txbxContent>
                  <w:p>
                    <w:pPr>
                      <w:spacing w:line="200" w:lineRule="exact" w:before="0"/>
                      <w:ind w:left="0" w:right="0" w:firstLine="0"/>
                      <w:jc w:val="left"/>
                      <w:rPr>
                        <w:rFonts w:ascii="Calibri"/>
                        <w:b/>
                        <w:sz w:val="20"/>
                      </w:rPr>
                    </w:pPr>
                    <w:r>
                      <w:rPr>
                        <w:rFonts w:ascii="Calibri"/>
                        <w:b/>
                        <w:sz w:val="20"/>
                      </w:rPr>
                      <w:t>Sources</w:t>
                    </w:r>
                  </w:p>
                </w:txbxContent>
              </v:textbox>
              <w10:wrap type="none"/>
            </v:shape>
            <v:shape style="position:absolute;left:8484;top:5554;width:347;height:201" type="#_x0000_t202" filled="false" stroked="false">
              <v:textbox inset="0,0,0,0">
                <w:txbxContent>
                  <w:p>
                    <w:pPr>
                      <w:spacing w:line="200" w:lineRule="exact" w:before="0"/>
                      <w:ind w:left="0" w:right="0" w:firstLine="0"/>
                      <w:jc w:val="left"/>
                      <w:rPr>
                        <w:rFonts w:ascii="Calibri"/>
                        <w:sz w:val="20"/>
                      </w:rPr>
                    </w:pPr>
                    <w:r>
                      <w:rPr>
                        <w:rFonts w:ascii="Calibri"/>
                        <w:sz w:val="20"/>
                      </w:rPr>
                      <w:t>SBG</w:t>
                    </w:r>
                  </w:p>
                </w:txbxContent>
              </v:textbox>
              <w10:wrap type="none"/>
            </v:shape>
            <v:shape style="position:absolute;left:7414;top:5554;width:355;height:201" type="#_x0000_t202" filled="false" stroked="false">
              <v:textbox inset="0,0,0,0">
                <w:txbxContent>
                  <w:p>
                    <w:pPr>
                      <w:spacing w:line="200" w:lineRule="exact" w:before="0"/>
                      <w:ind w:left="0" w:right="0" w:firstLine="0"/>
                      <w:jc w:val="left"/>
                      <w:rPr>
                        <w:rFonts w:ascii="Calibri"/>
                        <w:sz w:val="20"/>
                      </w:rPr>
                    </w:pPr>
                    <w:r>
                      <w:rPr>
                        <w:rFonts w:ascii="Calibri"/>
                        <w:sz w:val="20"/>
                      </w:rPr>
                      <w:t>SAG</w:t>
                    </w:r>
                  </w:p>
                </w:txbxContent>
              </v:textbox>
              <w10:wrap type="none"/>
            </v:shape>
            <v:shape style="position:absolute;left:6348;top:5554;width:351;height:201" type="#_x0000_t202" filled="false" stroked="false">
              <v:textbox inset="0,0,0,0">
                <w:txbxContent>
                  <w:p>
                    <w:pPr>
                      <w:spacing w:line="200" w:lineRule="exact" w:before="0"/>
                      <w:ind w:left="0" w:right="0" w:firstLine="0"/>
                      <w:jc w:val="left"/>
                      <w:rPr>
                        <w:rFonts w:ascii="Calibri"/>
                        <w:sz w:val="20"/>
                      </w:rPr>
                    </w:pPr>
                    <w:r>
                      <w:rPr>
                        <w:rFonts w:ascii="Calibri"/>
                        <w:sz w:val="20"/>
                      </w:rPr>
                      <w:t>SAD</w:t>
                    </w:r>
                  </w:p>
                </w:txbxContent>
              </v:textbox>
              <w10:wrap type="none"/>
            </v:shape>
            <v:shape style="position:absolute;left:5206;top:5554;width:503;height:201" type="#_x0000_t202" filled="false" stroked="false">
              <v:textbox inset="0,0,0,0">
                <w:txbxContent>
                  <w:p>
                    <w:pPr>
                      <w:spacing w:line="200" w:lineRule="exact" w:before="0"/>
                      <w:ind w:left="0" w:right="0" w:firstLine="0"/>
                      <w:jc w:val="left"/>
                      <w:rPr>
                        <w:rFonts w:ascii="Calibri"/>
                        <w:sz w:val="20"/>
                      </w:rPr>
                    </w:pPr>
                    <w:r>
                      <w:rPr>
                        <w:rFonts w:ascii="Calibri"/>
                        <w:sz w:val="20"/>
                      </w:rPr>
                      <w:t>SBWC</w:t>
                    </w:r>
                  </w:p>
                </w:txbxContent>
              </v:textbox>
              <w10:wrap type="none"/>
            </v:shape>
            <v:shape style="position:absolute;left:4180;top:5554;width:430;height:201" type="#_x0000_t202" filled="false" stroked="false">
              <v:textbox inset="0,0,0,0">
                <w:txbxContent>
                  <w:p>
                    <w:pPr>
                      <w:spacing w:line="200" w:lineRule="exact" w:before="0"/>
                      <w:ind w:left="0" w:right="0" w:firstLine="0"/>
                      <w:jc w:val="left"/>
                      <w:rPr>
                        <w:rFonts w:ascii="Calibri"/>
                        <w:sz w:val="20"/>
                      </w:rPr>
                    </w:pPr>
                    <w:r>
                      <w:rPr>
                        <w:rFonts w:ascii="Calibri"/>
                        <w:sz w:val="20"/>
                      </w:rPr>
                      <w:t>SABZ</w:t>
                    </w:r>
                  </w:p>
                </w:txbxContent>
              </v:textbox>
              <w10:wrap type="none"/>
            </v:shape>
            <v:shape style="position:absolute;left:3154;top:5554;width:344;height:201" type="#_x0000_t202" filled="false" stroked="false">
              <v:textbox inset="0,0,0,0">
                <w:txbxContent>
                  <w:p>
                    <w:pPr>
                      <w:spacing w:line="200" w:lineRule="exact" w:before="0"/>
                      <w:ind w:left="0" w:right="0" w:firstLine="0"/>
                      <w:jc w:val="left"/>
                      <w:rPr>
                        <w:rFonts w:ascii="Calibri"/>
                        <w:sz w:val="20"/>
                      </w:rPr>
                    </w:pPr>
                    <w:r>
                      <w:rPr>
                        <w:rFonts w:ascii="Calibri"/>
                        <w:sz w:val="20"/>
                      </w:rPr>
                      <w:t>SAA</w:t>
                    </w:r>
                  </w:p>
                </w:txbxContent>
              </v:textbox>
              <w10:wrap type="none"/>
            </v:shape>
            <v:shape style="position:absolute;left:2146;top:3196;width:471;height:2250" type="#_x0000_t202" filled="false" stroked="false">
              <v:textbox inset="0,0,0,0">
                <w:txbxContent>
                  <w:p>
                    <w:pPr>
                      <w:spacing w:line="204" w:lineRule="exact" w:before="0"/>
                      <w:ind w:left="98" w:right="0" w:firstLine="0"/>
                      <w:jc w:val="left"/>
                      <w:rPr>
                        <w:rFonts w:ascii="Calibri"/>
                        <w:sz w:val="20"/>
                      </w:rPr>
                    </w:pPr>
                    <w:r>
                      <w:rPr>
                        <w:rFonts w:ascii="Calibri"/>
                        <w:sz w:val="20"/>
                      </w:rPr>
                      <w:t>0,01</w:t>
                    </w:r>
                  </w:p>
                  <w:p>
                    <w:pPr>
                      <w:spacing w:before="166"/>
                      <w:ind w:left="0" w:right="0" w:firstLine="0"/>
                      <w:jc w:val="left"/>
                      <w:rPr>
                        <w:rFonts w:ascii="Calibri"/>
                        <w:sz w:val="20"/>
                      </w:rPr>
                    </w:pPr>
                    <w:r>
                      <w:rPr>
                        <w:rFonts w:ascii="Calibri"/>
                        <w:sz w:val="20"/>
                      </w:rPr>
                      <w:t>0,008</w:t>
                    </w:r>
                  </w:p>
                  <w:p>
                    <w:pPr>
                      <w:spacing w:before="165"/>
                      <w:ind w:left="0" w:right="0" w:firstLine="0"/>
                      <w:jc w:val="left"/>
                      <w:rPr>
                        <w:rFonts w:ascii="Calibri"/>
                        <w:sz w:val="20"/>
                      </w:rPr>
                    </w:pPr>
                    <w:r>
                      <w:rPr>
                        <w:rFonts w:ascii="Calibri"/>
                        <w:sz w:val="20"/>
                      </w:rPr>
                      <w:t>0,006</w:t>
                    </w:r>
                  </w:p>
                  <w:p>
                    <w:pPr>
                      <w:spacing w:before="166"/>
                      <w:ind w:left="0" w:right="0" w:firstLine="0"/>
                      <w:jc w:val="left"/>
                      <w:rPr>
                        <w:rFonts w:ascii="Calibri"/>
                        <w:sz w:val="20"/>
                      </w:rPr>
                    </w:pPr>
                    <w:r>
                      <w:rPr>
                        <w:rFonts w:ascii="Calibri"/>
                        <w:sz w:val="20"/>
                      </w:rPr>
                      <w:t>0,004</w:t>
                    </w:r>
                  </w:p>
                  <w:p>
                    <w:pPr>
                      <w:spacing w:before="166"/>
                      <w:ind w:left="0" w:right="0" w:firstLine="0"/>
                      <w:jc w:val="left"/>
                      <w:rPr>
                        <w:rFonts w:ascii="Calibri"/>
                        <w:sz w:val="20"/>
                      </w:rPr>
                    </w:pPr>
                    <w:r>
                      <w:rPr>
                        <w:rFonts w:ascii="Calibri"/>
                        <w:sz w:val="20"/>
                      </w:rPr>
                      <w:t>0,002</w:t>
                    </w:r>
                  </w:p>
                  <w:p>
                    <w:pPr>
                      <w:spacing w:line="240" w:lineRule="exact" w:before="165"/>
                      <w:ind w:left="0" w:right="18" w:firstLine="0"/>
                      <w:jc w:val="right"/>
                      <w:rPr>
                        <w:rFonts w:ascii="Calibri"/>
                        <w:sz w:val="20"/>
                      </w:rPr>
                    </w:pPr>
                    <w:r>
                      <w:rPr>
                        <w:rFonts w:ascii="Calibri"/>
                        <w:sz w:val="20"/>
                      </w:rPr>
                      <w:t>0</w:t>
                    </w:r>
                  </w:p>
                </w:txbxContent>
              </v:textbox>
              <w10:wrap type="none"/>
            </v:shape>
            <v:shape style="position:absolute;left:7144;top:2713;width:386;height:200" type="#_x0000_t202" filled="false" stroked="false">
              <v:textbox inset="0,0,0,0">
                <w:txbxContent>
                  <w:p>
                    <w:pPr>
                      <w:spacing w:line="200" w:lineRule="exact" w:before="0"/>
                      <w:ind w:left="0" w:right="0" w:firstLine="0"/>
                      <w:jc w:val="left"/>
                      <w:rPr>
                        <w:rFonts w:ascii="Calibri"/>
                        <w:sz w:val="20"/>
                      </w:rPr>
                    </w:pPr>
                    <w:r>
                      <w:rPr>
                        <w:rFonts w:ascii="Calibri"/>
                        <w:sz w:val="20"/>
                      </w:rPr>
                      <w:t>Avril</w:t>
                    </w:r>
                  </w:p>
                </w:txbxContent>
              </v:textbox>
              <w10:wrap type="none"/>
            </v:shape>
            <v:shape style="position:absolute;left:5628;top:2713;width:434;height:200" type="#_x0000_t202" filled="false" stroked="false">
              <v:textbox inset="0,0,0,0">
                <w:txbxContent>
                  <w:p>
                    <w:pPr>
                      <w:spacing w:line="200" w:lineRule="exact" w:before="0"/>
                      <w:ind w:left="0" w:right="0" w:firstLine="0"/>
                      <w:jc w:val="left"/>
                      <w:rPr>
                        <w:rFonts w:ascii="Calibri"/>
                        <w:sz w:val="20"/>
                      </w:rPr>
                    </w:pPr>
                    <w:r>
                      <w:rPr>
                        <w:rFonts w:ascii="Calibri"/>
                        <w:sz w:val="20"/>
                      </w:rPr>
                      <w:t>Mars</w:t>
                    </w:r>
                  </w:p>
                </w:txbxContent>
              </v:textbox>
              <w10:wrap type="none"/>
            </v:shape>
            <v:shape style="position:absolute;left:3961;top:2713;width:585;height:200" type="#_x0000_t202" filled="false" stroked="false">
              <v:textbox inset="0,0,0,0">
                <w:txbxContent>
                  <w:p>
                    <w:pPr>
                      <w:spacing w:line="200" w:lineRule="exact" w:before="0"/>
                      <w:ind w:left="0" w:right="0" w:firstLine="0"/>
                      <w:jc w:val="left"/>
                      <w:rPr>
                        <w:rFonts w:ascii="Calibri" w:hAnsi="Calibri"/>
                        <w:sz w:val="20"/>
                      </w:rPr>
                    </w:pPr>
                    <w:r>
                      <w:rPr>
                        <w:rFonts w:ascii="Calibri" w:hAnsi="Calibri"/>
                        <w:sz w:val="20"/>
                      </w:rPr>
                      <w:t>Février</w:t>
                    </w:r>
                  </w:p>
                </w:txbxContent>
              </v:textbox>
              <w10:wrap type="none"/>
            </v:shape>
            <v:shape style="position:absolute;left:2146;top:2786;width:470;height:200" type="#_x0000_t202" filled="false" stroked="false">
              <v:textbox inset="0,0,0,0">
                <w:txbxContent>
                  <w:p>
                    <w:pPr>
                      <w:spacing w:line="200" w:lineRule="exact" w:before="0"/>
                      <w:ind w:left="0" w:right="0" w:firstLine="0"/>
                      <w:jc w:val="left"/>
                      <w:rPr>
                        <w:rFonts w:ascii="Calibri"/>
                        <w:sz w:val="20"/>
                      </w:rPr>
                    </w:pPr>
                    <w:r>
                      <w:rPr>
                        <w:rFonts w:ascii="Calibri"/>
                        <w:sz w:val="20"/>
                      </w:rPr>
                      <w:t>0,012</w:t>
                    </w:r>
                  </w:p>
                </w:txbxContent>
              </v:textbox>
              <w10:wrap type="none"/>
            </v:shape>
            <w10:wrap type="none"/>
          </v:group>
        </w:pict>
      </w:r>
      <w:r>
        <w:rPr/>
        <w:pict>
          <v:shape style="position:absolute;margin-left:89.770226pt;margin-top:138.553299pt;width:12.05pt;height:127.6pt;mso-position-horizontal-relative:page;mso-position-vertical-relative:paragraph;z-index:5296" type="#_x0000_t202" filled="false" stroked="false">
            <v:textbox inset="0,0,0,0" style="layout-flow:vertical;mso-layout-flow-alt:bottom-to-top">
              <w:txbxContent>
                <w:p>
                  <w:pPr>
                    <w:spacing w:line="224" w:lineRule="exact" w:before="0"/>
                    <w:ind w:left="20" w:right="0" w:firstLine="0"/>
                    <w:jc w:val="left"/>
                    <w:rPr>
                      <w:rFonts w:ascii="Calibri"/>
                      <w:b/>
                      <w:sz w:val="20"/>
                    </w:rPr>
                  </w:pPr>
                  <w:r>
                    <w:rPr>
                      <w:rFonts w:ascii="Calibri"/>
                      <w:b/>
                      <w:sz w:val="20"/>
                    </w:rPr>
                    <w:t>valeurs du phosphate( mg/ml)</w:t>
                  </w:r>
                </w:p>
              </w:txbxContent>
            </v:textbox>
            <w10:wrap type="none"/>
          </v:shape>
        </w:pict>
      </w:r>
      <w:r>
        <w:rPr/>
        <w:t>Les résultats des orthophosphates (Figure 18) nous montrent que leurs concentrations dans les eaux des sources échantillonnées sont inférieures à la norme 0.5 mg/l décrite par l’OMS(2011) pour les eaux destinées à la consommation humaine. </w:t>
      </w:r>
      <w:r>
        <w:rPr>
          <w:spacing w:val="-6"/>
        </w:rPr>
        <w:t>Le </w:t>
      </w:r>
      <w:r>
        <w:rPr/>
        <w:t>maximum de concentration est observé au niveau de la source SBG (0.011 mg/l) pendant le mois de février et une valeur minimale égale à 0.001 (SAA et SBG durant le mois </w:t>
      </w:r>
      <w:r>
        <w:rPr>
          <w:spacing w:val="-3"/>
        </w:rPr>
        <w:t>de </w:t>
      </w:r>
      <w:r>
        <w:rPr/>
        <w:t>mars) et des valeurs nulles (SABZ, SBWC, SAG pour les trois</w:t>
      </w:r>
      <w:r>
        <w:rPr>
          <w:spacing w:val="-12"/>
        </w:rPr>
        <w:t> </w:t>
      </w:r>
      <w:r>
        <w:rPr/>
        <w:t>prélèvements).</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9"/>
        <w:rPr>
          <w:sz w:val="27"/>
        </w:rPr>
      </w:pPr>
    </w:p>
    <w:p>
      <w:pPr>
        <w:pStyle w:val="BodyText"/>
        <w:ind w:left="843"/>
      </w:pPr>
      <w:r>
        <w:rPr>
          <w:b/>
        </w:rPr>
        <w:t>Figure 18 : </w:t>
      </w:r>
      <w:r>
        <w:rPr/>
        <w:t>Évaluation de la concentration des phosphates dans les sources échantillonnée.</w:t>
      </w:r>
    </w:p>
    <w:p>
      <w:pPr>
        <w:pStyle w:val="BodyText"/>
        <w:spacing w:before="3"/>
        <w:rPr>
          <w:sz w:val="21"/>
        </w:rPr>
      </w:pPr>
    </w:p>
    <w:p>
      <w:pPr>
        <w:pStyle w:val="Heading4"/>
        <w:numPr>
          <w:ilvl w:val="2"/>
          <w:numId w:val="27"/>
        </w:numPr>
        <w:tabs>
          <w:tab w:pos="1539" w:val="left" w:leader="none"/>
        </w:tabs>
        <w:spacing w:line="240" w:lineRule="auto" w:before="0" w:after="0"/>
        <w:ind w:left="1538" w:right="0" w:hanging="863"/>
        <w:jc w:val="left"/>
      </w:pPr>
      <w:bookmarkStart w:name="_TOC_250013" w:id="68"/>
      <w:r>
        <w:rPr/>
        <w:t>L’Ammonium NH</w:t>
      </w:r>
      <w:r>
        <w:rPr>
          <w:vertAlign w:val="subscript"/>
        </w:rPr>
        <w:t>4</w:t>
      </w:r>
      <w:r>
        <w:rPr>
          <w:vertAlign w:val="superscript"/>
        </w:rPr>
        <w:t>+</w:t>
      </w:r>
      <w:r>
        <w:rPr>
          <w:spacing w:val="-22"/>
          <w:vertAlign w:val="baseline"/>
        </w:rPr>
        <w:t> </w:t>
      </w:r>
      <w:bookmarkEnd w:id="68"/>
      <w:r>
        <w:rPr>
          <w:vertAlign w:val="baseline"/>
        </w:rPr>
        <w:t>:</w:t>
      </w:r>
    </w:p>
    <w:p>
      <w:pPr>
        <w:pStyle w:val="BodyText"/>
        <w:spacing w:line="273" w:lineRule="auto" w:before="240"/>
        <w:ind w:left="675" w:right="1416" w:firstLine="707"/>
        <w:jc w:val="both"/>
      </w:pPr>
      <w:r>
        <w:rPr/>
        <w:t>La figure suivante présente les valeurs de </w:t>
      </w:r>
      <w:r>
        <w:rPr>
          <w:sz w:val="22"/>
        </w:rPr>
        <w:t>l’ammonium</w:t>
      </w:r>
      <w:r>
        <w:rPr/>
        <w:t>, ces valeurs des teneurs de ce paramètre sont nulles sauf la valeur de 0.01 (valeur maximale au niveau de la source SAG) et une valeur minimale de 0.001 mg/l au niveau de la source SBG durant le mois d’avril.</w:t>
      </w:r>
    </w:p>
    <w:p>
      <w:pPr>
        <w:pStyle w:val="BodyText"/>
        <w:spacing w:before="207"/>
        <w:ind w:left="675"/>
        <w:jc w:val="both"/>
      </w:pPr>
      <w:r>
        <w:rPr/>
        <w:t>Ces résultats sont inférieurs aux normes décrites par l’OMS(2011) (0,5 mg/l).</w:t>
      </w:r>
    </w:p>
    <w:p>
      <w:pPr>
        <w:spacing w:after="0"/>
        <w:jc w:val="both"/>
        <w:sectPr>
          <w:pgSz w:w="11900" w:h="16840"/>
          <w:pgMar w:header="727" w:footer="1061" w:top="1180" w:bottom="1260" w:left="74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24"/>
        <w:ind w:left="1027"/>
        <w:rPr>
          <w:b/>
        </w:rPr>
      </w:pPr>
      <w:r>
        <w:rPr/>
        <w:pict>
          <v:group style="position:absolute;margin-left:71.850334pt;margin-top:-201.172668pt;width:420.25pt;height:200.5pt;mso-position-horizontal-relative:page;mso-position-vertical-relative:paragraph;z-index:5632" coordorigin="1437,-4023" coordsize="8405,4010">
            <v:shape style="position:absolute;left:2827;top:-3781;width:6404;height:2691" type="#_x0000_t75" stroked="false">
              <v:imagedata r:id="rId128" o:title=""/>
            </v:shape>
            <v:shape style="position:absolute;left:2803;top:-3586;width:6179;height:2516" coordorigin="2803,-3585" coordsize="6179,2516" path="m2866,-1126l2801,-1126m2866,-1617l2801,-1617m2866,-2105l2801,-2105m2866,-2596l2801,-2596m2866,-3088l2801,-3088m2866,-3576l2801,-3576m2865,-1125l2865,-1062m3884,-1125l3884,-1062m4904,-1125l4904,-1062m5919,-1125l5919,-1062m6938,-1125l6938,-1062m7958,-1125l7958,-1062m8976,-1125l8976,-1062e" filled="false" stroked="true" strokeweight=".999328pt" strokecolor="#858585">
              <v:path arrowok="t"/>
              <v:stroke dashstyle="solid"/>
            </v:shape>
            <v:rect style="position:absolute;left:3358;top:-3685;width:110;height:110" filled="true" fillcolor="#4f81bc" stroked="false">
              <v:fill type="solid"/>
            </v:rect>
            <v:rect style="position:absolute;left:5050;top:-3685;width:110;height:110" filled="true" fillcolor="#c0504d" stroked="false">
              <v:fill type="solid"/>
            </v:rect>
            <v:rect style="position:absolute;left:6590;top:-3685;width:110;height:110" filled="true" fillcolor="#9bba58" stroked="false">
              <v:fill type="solid"/>
            </v:rect>
            <v:rect style="position:absolute;left:1446;top:-4004;width:8380;height:3988" filled="false" stroked="true" strokeweight=".999328pt" strokecolor="#858585">
              <v:stroke dashstyle="solid"/>
            </v:rect>
            <v:shape style="position:absolute;left:5596;top:-503;width:667;height:200" type="#_x0000_t202" filled="false" stroked="false">
              <v:textbox inset="0,0,0,0">
                <w:txbxContent>
                  <w:p>
                    <w:pPr>
                      <w:spacing w:line="200" w:lineRule="exact" w:before="0"/>
                      <w:ind w:left="0" w:right="0" w:firstLine="0"/>
                      <w:jc w:val="left"/>
                      <w:rPr>
                        <w:rFonts w:ascii="Calibri"/>
                        <w:b/>
                        <w:sz w:val="20"/>
                      </w:rPr>
                    </w:pPr>
                    <w:r>
                      <w:rPr>
                        <w:rFonts w:ascii="Calibri"/>
                        <w:b/>
                        <w:sz w:val="20"/>
                      </w:rPr>
                      <w:t>Sources</w:t>
                    </w:r>
                  </w:p>
                </w:txbxContent>
              </v:textbox>
              <w10:wrap type="none"/>
            </v:shape>
            <v:shape style="position:absolute;left:8302;top:-897;width:346;height:200" type="#_x0000_t202" filled="false" stroked="false">
              <v:textbox inset="0,0,0,0">
                <w:txbxContent>
                  <w:p>
                    <w:pPr>
                      <w:spacing w:line="200" w:lineRule="exact" w:before="0"/>
                      <w:ind w:left="0" w:right="0" w:firstLine="0"/>
                      <w:jc w:val="left"/>
                      <w:rPr>
                        <w:rFonts w:ascii="Calibri"/>
                        <w:sz w:val="20"/>
                      </w:rPr>
                    </w:pPr>
                    <w:r>
                      <w:rPr>
                        <w:rFonts w:ascii="Calibri"/>
                        <w:sz w:val="20"/>
                      </w:rPr>
                      <w:t>SBG</w:t>
                    </w:r>
                  </w:p>
                </w:txbxContent>
              </v:textbox>
              <w10:wrap type="none"/>
            </v:shape>
            <v:shape style="position:absolute;left:7280;top:-897;width:354;height:200" type="#_x0000_t202" filled="false" stroked="false">
              <v:textbox inset="0,0,0,0">
                <w:txbxContent>
                  <w:p>
                    <w:pPr>
                      <w:spacing w:line="200" w:lineRule="exact" w:before="0"/>
                      <w:ind w:left="0" w:right="0" w:firstLine="0"/>
                      <w:jc w:val="left"/>
                      <w:rPr>
                        <w:rFonts w:ascii="Calibri"/>
                        <w:sz w:val="20"/>
                      </w:rPr>
                    </w:pPr>
                    <w:r>
                      <w:rPr>
                        <w:rFonts w:ascii="Calibri"/>
                        <w:sz w:val="20"/>
                      </w:rPr>
                      <w:t>SAG</w:t>
                    </w:r>
                  </w:p>
                </w:txbxContent>
              </v:textbox>
              <w10:wrap type="none"/>
            </v:shape>
            <v:shape style="position:absolute;left:6265;top:-897;width:351;height:200" type="#_x0000_t202" filled="false" stroked="false">
              <v:textbox inset="0,0,0,0">
                <w:txbxContent>
                  <w:p>
                    <w:pPr>
                      <w:spacing w:line="200" w:lineRule="exact" w:before="0"/>
                      <w:ind w:left="0" w:right="0" w:firstLine="0"/>
                      <w:jc w:val="left"/>
                      <w:rPr>
                        <w:rFonts w:ascii="Calibri"/>
                        <w:sz w:val="20"/>
                      </w:rPr>
                    </w:pPr>
                    <w:r>
                      <w:rPr>
                        <w:rFonts w:ascii="Calibri"/>
                        <w:sz w:val="20"/>
                      </w:rPr>
                      <w:t>SAD</w:t>
                    </w:r>
                  </w:p>
                </w:txbxContent>
              </v:textbox>
              <w10:wrap type="none"/>
            </v:shape>
            <v:shape style="position:absolute;left:5171;top:-897;width:503;height:200" type="#_x0000_t202" filled="false" stroked="false">
              <v:textbox inset="0,0,0,0">
                <w:txbxContent>
                  <w:p>
                    <w:pPr>
                      <w:spacing w:line="200" w:lineRule="exact" w:before="0"/>
                      <w:ind w:left="0" w:right="0" w:firstLine="0"/>
                      <w:jc w:val="left"/>
                      <w:rPr>
                        <w:rFonts w:ascii="Calibri"/>
                        <w:sz w:val="20"/>
                      </w:rPr>
                    </w:pPr>
                    <w:r>
                      <w:rPr>
                        <w:rFonts w:ascii="Calibri"/>
                        <w:sz w:val="20"/>
                      </w:rPr>
                      <w:t>SBWC</w:t>
                    </w:r>
                  </w:p>
                </w:txbxContent>
              </v:textbox>
              <w10:wrap type="none"/>
            </v:shape>
            <v:shape style="position:absolute;left:4188;top:-897;width:430;height:200" type="#_x0000_t202" filled="false" stroked="false">
              <v:textbox inset="0,0,0,0">
                <w:txbxContent>
                  <w:p>
                    <w:pPr>
                      <w:spacing w:line="200" w:lineRule="exact" w:before="0"/>
                      <w:ind w:left="0" w:right="0" w:firstLine="0"/>
                      <w:jc w:val="left"/>
                      <w:rPr>
                        <w:rFonts w:ascii="Calibri"/>
                        <w:sz w:val="20"/>
                      </w:rPr>
                    </w:pPr>
                    <w:r>
                      <w:rPr>
                        <w:rFonts w:ascii="Calibri"/>
                        <w:sz w:val="20"/>
                      </w:rPr>
                      <w:t>SABZ</w:t>
                    </w:r>
                  </w:p>
                </w:txbxContent>
              </v:textbox>
              <w10:wrap type="none"/>
            </v:shape>
            <v:shape style="position:absolute;left:3213;top:-897;width:344;height:200" type="#_x0000_t202" filled="false" stroked="false">
              <v:textbox inset="0,0,0,0">
                <w:txbxContent>
                  <w:p>
                    <w:pPr>
                      <w:spacing w:line="200" w:lineRule="exact" w:before="0"/>
                      <w:ind w:left="0" w:right="0" w:firstLine="0"/>
                      <w:jc w:val="left"/>
                      <w:rPr>
                        <w:rFonts w:ascii="Calibri"/>
                        <w:sz w:val="20"/>
                      </w:rPr>
                    </w:pPr>
                    <w:r>
                      <w:rPr>
                        <w:rFonts w:ascii="Calibri"/>
                        <w:sz w:val="20"/>
                      </w:rPr>
                      <w:t>SAA</w:t>
                    </w:r>
                  </w:p>
                </w:txbxContent>
              </v:textbox>
              <w10:wrap type="none"/>
            </v:shape>
            <v:shape style="position:absolute;left:2228;top:-3166;width:471;height:2161" type="#_x0000_t202" filled="false" stroked="false">
              <v:textbox inset="0,0,0,0">
                <w:txbxContent>
                  <w:p>
                    <w:pPr>
                      <w:spacing w:line="204" w:lineRule="exact" w:before="0"/>
                      <w:ind w:left="0" w:right="0" w:firstLine="0"/>
                      <w:jc w:val="left"/>
                      <w:rPr>
                        <w:rFonts w:ascii="Calibri"/>
                        <w:sz w:val="20"/>
                      </w:rPr>
                    </w:pPr>
                    <w:r>
                      <w:rPr>
                        <w:rFonts w:ascii="Calibri"/>
                        <w:sz w:val="20"/>
                      </w:rPr>
                      <w:t>0,008</w:t>
                    </w:r>
                  </w:p>
                  <w:p>
                    <w:pPr>
                      <w:spacing w:line="240" w:lineRule="auto" w:before="4"/>
                      <w:rPr>
                        <w:sz w:val="21"/>
                      </w:rPr>
                    </w:pPr>
                  </w:p>
                  <w:p>
                    <w:pPr>
                      <w:spacing w:before="0"/>
                      <w:ind w:left="0" w:right="0" w:firstLine="0"/>
                      <w:jc w:val="left"/>
                      <w:rPr>
                        <w:rFonts w:ascii="Calibri"/>
                        <w:sz w:val="20"/>
                      </w:rPr>
                    </w:pPr>
                    <w:r>
                      <w:rPr>
                        <w:rFonts w:ascii="Calibri"/>
                        <w:sz w:val="20"/>
                      </w:rPr>
                      <w:t>0,006</w:t>
                    </w:r>
                  </w:p>
                  <w:p>
                    <w:pPr>
                      <w:spacing w:line="240" w:lineRule="auto" w:before="4"/>
                      <w:rPr>
                        <w:sz w:val="21"/>
                      </w:rPr>
                    </w:pPr>
                  </w:p>
                  <w:p>
                    <w:pPr>
                      <w:spacing w:before="0"/>
                      <w:ind w:left="0" w:right="0" w:firstLine="0"/>
                      <w:jc w:val="left"/>
                      <w:rPr>
                        <w:rFonts w:ascii="Calibri"/>
                        <w:sz w:val="20"/>
                      </w:rPr>
                    </w:pPr>
                    <w:r>
                      <w:rPr>
                        <w:rFonts w:ascii="Calibri"/>
                        <w:sz w:val="20"/>
                      </w:rPr>
                      <w:t>0,004</w:t>
                    </w:r>
                  </w:p>
                  <w:p>
                    <w:pPr>
                      <w:spacing w:line="240" w:lineRule="auto" w:before="4"/>
                      <w:rPr>
                        <w:sz w:val="21"/>
                      </w:rPr>
                    </w:pPr>
                  </w:p>
                  <w:p>
                    <w:pPr>
                      <w:spacing w:before="1"/>
                      <w:ind w:left="0" w:right="0" w:firstLine="0"/>
                      <w:jc w:val="left"/>
                      <w:rPr>
                        <w:rFonts w:ascii="Calibri"/>
                        <w:sz w:val="20"/>
                      </w:rPr>
                    </w:pPr>
                    <w:r>
                      <w:rPr>
                        <w:rFonts w:ascii="Calibri"/>
                        <w:sz w:val="20"/>
                      </w:rPr>
                      <w:t>0,002</w:t>
                    </w:r>
                  </w:p>
                  <w:p>
                    <w:pPr>
                      <w:spacing w:line="240" w:lineRule="auto" w:before="4"/>
                      <w:rPr>
                        <w:sz w:val="21"/>
                      </w:rPr>
                    </w:pPr>
                  </w:p>
                  <w:p>
                    <w:pPr>
                      <w:spacing w:line="240" w:lineRule="exact" w:before="0"/>
                      <w:ind w:left="0" w:right="18" w:firstLine="0"/>
                      <w:jc w:val="right"/>
                      <w:rPr>
                        <w:rFonts w:ascii="Calibri"/>
                        <w:sz w:val="20"/>
                      </w:rPr>
                    </w:pPr>
                    <w:r>
                      <w:rPr>
                        <w:rFonts w:ascii="Calibri"/>
                        <w:sz w:val="20"/>
                      </w:rPr>
                      <w:t>0</w:t>
                    </w:r>
                  </w:p>
                </w:txbxContent>
              </v:textbox>
              <w10:wrap type="none"/>
            </v:shape>
            <v:shape style="position:absolute;left:6790;top:-3720;width:386;height:200" type="#_x0000_t202" filled="false" stroked="false">
              <v:textbox inset="0,0,0,0">
                <w:txbxContent>
                  <w:p>
                    <w:pPr>
                      <w:spacing w:line="200" w:lineRule="exact" w:before="0"/>
                      <w:ind w:left="0" w:right="0" w:firstLine="0"/>
                      <w:jc w:val="left"/>
                      <w:rPr>
                        <w:rFonts w:ascii="Calibri"/>
                        <w:sz w:val="20"/>
                      </w:rPr>
                    </w:pPr>
                    <w:r>
                      <w:rPr>
                        <w:rFonts w:ascii="Calibri"/>
                        <w:sz w:val="20"/>
                      </w:rPr>
                      <w:t>Avril</w:t>
                    </w:r>
                  </w:p>
                </w:txbxContent>
              </v:textbox>
              <w10:wrap type="none"/>
            </v:shape>
            <v:shape style="position:absolute;left:5249;top:-3720;width:434;height:200" type="#_x0000_t202" filled="false" stroked="false">
              <v:textbox inset="0,0,0,0">
                <w:txbxContent>
                  <w:p>
                    <w:pPr>
                      <w:spacing w:line="200" w:lineRule="exact" w:before="0"/>
                      <w:ind w:left="0" w:right="0" w:firstLine="0"/>
                      <w:jc w:val="left"/>
                      <w:rPr>
                        <w:rFonts w:ascii="Calibri"/>
                        <w:sz w:val="20"/>
                      </w:rPr>
                    </w:pPr>
                    <w:r>
                      <w:rPr>
                        <w:rFonts w:ascii="Calibri"/>
                        <w:sz w:val="20"/>
                      </w:rPr>
                      <w:t>Mars</w:t>
                    </w:r>
                  </w:p>
                </w:txbxContent>
              </v:textbox>
              <w10:wrap type="none"/>
            </v:shape>
            <v:shape style="position:absolute;left:3557;top:-3720;width:585;height:200" type="#_x0000_t202" filled="false" stroked="false">
              <v:textbox inset="0,0,0,0">
                <w:txbxContent>
                  <w:p>
                    <w:pPr>
                      <w:spacing w:line="200" w:lineRule="exact" w:before="0"/>
                      <w:ind w:left="0" w:right="0" w:firstLine="0"/>
                      <w:jc w:val="left"/>
                      <w:rPr>
                        <w:rFonts w:ascii="Calibri" w:hAnsi="Calibri"/>
                        <w:sz w:val="20"/>
                      </w:rPr>
                    </w:pPr>
                    <w:r>
                      <w:rPr>
                        <w:rFonts w:ascii="Calibri" w:hAnsi="Calibri"/>
                        <w:sz w:val="20"/>
                      </w:rPr>
                      <w:t>Février</w:t>
                    </w:r>
                  </w:p>
                </w:txbxContent>
              </v:textbox>
              <w10:wrap type="none"/>
            </v:shape>
            <v:shape style="position:absolute;left:2327;top:-3656;width:370;height:201" type="#_x0000_t202" filled="false" stroked="false">
              <v:textbox inset="0,0,0,0">
                <w:txbxContent>
                  <w:p>
                    <w:pPr>
                      <w:spacing w:line="200" w:lineRule="exact" w:before="0"/>
                      <w:ind w:left="0" w:right="0" w:firstLine="0"/>
                      <w:jc w:val="left"/>
                      <w:rPr>
                        <w:rFonts w:ascii="Calibri"/>
                        <w:sz w:val="20"/>
                      </w:rPr>
                    </w:pPr>
                    <w:r>
                      <w:rPr>
                        <w:rFonts w:ascii="Calibri"/>
                        <w:sz w:val="20"/>
                      </w:rPr>
                      <w:t>0,01</w:t>
                    </w:r>
                  </w:p>
                </w:txbxContent>
              </v:textbox>
              <w10:wrap type="none"/>
            </v:shape>
            <w10:wrap type="none"/>
          </v:group>
        </w:pict>
      </w:r>
      <w:r>
        <w:rPr/>
        <w:pict>
          <v:shape style="position:absolute;margin-left:92.687019pt;margin-top:-175.771347pt;width:12pt;height:116.65pt;mso-position-horizontal-relative:page;mso-position-vertical-relative:paragraph;z-index:5968" type="#_x0000_t202" filled="false" stroked="false">
            <v:textbox inset="0,0,0,0" style="layout-flow:vertical;mso-layout-flow-alt:bottom-to-top">
              <w:txbxContent>
                <w:p>
                  <w:pPr>
                    <w:spacing w:line="224" w:lineRule="exact" w:before="0"/>
                    <w:ind w:left="20" w:right="0" w:firstLine="0"/>
                    <w:jc w:val="left"/>
                    <w:rPr>
                      <w:rFonts w:ascii="Calibri"/>
                      <w:b/>
                      <w:sz w:val="20"/>
                    </w:rPr>
                  </w:pPr>
                  <w:r>
                    <w:rPr>
                      <w:rFonts w:ascii="Calibri"/>
                      <w:b/>
                      <w:sz w:val="20"/>
                    </w:rPr>
                    <w:t>valeurs du ammonium mg/l</w:t>
                  </w:r>
                </w:p>
              </w:txbxContent>
            </v:textbox>
            <w10:wrap type="none"/>
          </v:shape>
        </w:pict>
      </w:r>
      <w:r>
        <w:rPr>
          <w:b/>
        </w:rPr>
        <w:t>Figure 19 : </w:t>
      </w:r>
      <w:r>
        <w:rPr/>
        <w:t>Evolution du taux d’ammonium dans les eaux des sources échantillonnées</w:t>
      </w:r>
      <w:r>
        <w:rPr>
          <w:b/>
        </w:rPr>
        <w:t>.</w:t>
      </w:r>
    </w:p>
    <w:p>
      <w:pPr>
        <w:pStyle w:val="BodyText"/>
        <w:rPr>
          <w:b/>
          <w:sz w:val="26"/>
        </w:rPr>
      </w:pPr>
    </w:p>
    <w:p>
      <w:pPr>
        <w:pStyle w:val="BodyText"/>
        <w:rPr>
          <w:b/>
          <w:sz w:val="26"/>
        </w:rPr>
      </w:pPr>
    </w:p>
    <w:p>
      <w:pPr>
        <w:pStyle w:val="Heading4"/>
        <w:numPr>
          <w:ilvl w:val="2"/>
          <w:numId w:val="27"/>
        </w:numPr>
        <w:tabs>
          <w:tab w:pos="1480" w:val="left" w:leader="none"/>
        </w:tabs>
        <w:spacing w:line="240" w:lineRule="auto" w:before="162" w:after="0"/>
        <w:ind w:left="1480" w:right="0" w:hanging="805"/>
        <w:jc w:val="left"/>
      </w:pPr>
      <w:bookmarkStart w:name="_TOC_250012" w:id="69"/>
      <w:r>
        <w:rPr/>
        <w:t>Les Nitrates</w:t>
      </w:r>
      <w:r>
        <w:rPr>
          <w:spacing w:val="-3"/>
        </w:rPr>
        <w:t> </w:t>
      </w:r>
      <w:bookmarkEnd w:id="69"/>
      <w:r>
        <w:rPr/>
        <w:t>:</w:t>
      </w:r>
    </w:p>
    <w:p>
      <w:pPr>
        <w:pStyle w:val="BodyText"/>
        <w:spacing w:before="9"/>
        <w:rPr>
          <w:b/>
          <w:sz w:val="20"/>
        </w:rPr>
      </w:pPr>
    </w:p>
    <w:p>
      <w:pPr>
        <w:pStyle w:val="BodyText"/>
        <w:spacing w:line="273" w:lineRule="auto" w:before="1"/>
        <w:ind w:left="675" w:right="1424" w:firstLine="707"/>
        <w:jc w:val="both"/>
      </w:pPr>
      <w:r>
        <w:rPr>
          <w:spacing w:val="-4"/>
        </w:rPr>
        <w:t>La </w:t>
      </w:r>
      <w:r>
        <w:rPr/>
        <w:t>teneur en nitrates varie au cours de l’étude d’une valeur minimale de 0,237 mg/l au niveau de la source SAA durant le mois d’avril et une valeur maximale </w:t>
      </w:r>
      <w:r>
        <w:rPr>
          <w:spacing w:val="-3"/>
        </w:rPr>
        <w:t>de </w:t>
      </w:r>
      <w:r>
        <w:rPr/>
        <w:t>9,33 mg/l au niveau de la source SAG durant le mois de février (Figure</w:t>
      </w:r>
      <w:r>
        <w:rPr>
          <w:spacing w:val="-8"/>
        </w:rPr>
        <w:t> </w:t>
      </w:r>
      <w:r>
        <w:rPr/>
        <w:t>20).</w:t>
      </w:r>
    </w:p>
    <w:p>
      <w:pPr>
        <w:pStyle w:val="BodyText"/>
        <w:spacing w:before="207"/>
        <w:ind w:left="675"/>
      </w:pPr>
      <w:r>
        <w:rPr/>
        <w:pict>
          <v:group style="position:absolute;margin-left:71.850334pt;margin-top:35.488167pt;width:404.5pt;height:226pt;mso-position-horizontal-relative:page;mso-position-vertical-relative:paragraph;z-index:5920" coordorigin="1437,710" coordsize="8090,4520">
            <v:shape style="position:absolute;left:2546;top:947;width:5649;height:3195" type="#_x0000_t75" stroked="false">
              <v:imagedata r:id="rId129" o:title=""/>
            </v:shape>
            <v:shape style="position:absolute;left:2519;top:1131;width:5448;height:3041" coordorigin="2519,1132" coordsize="5448,3041" path="m2583,4111l2517,4111m2583,3815l2517,3815m2583,3515l2517,3515m2583,3219l2517,3219m2583,2919l2517,2919m2583,2624l2517,2624m2583,2324l2517,2324m2583,2028l2517,2028m2583,1732l2517,1732m2583,1432l2517,1432m2583,1137l2517,1137m2581,4111l2581,4175m3481,4111l3481,4175m4376,4111l4376,4175m5271,4111l5271,4175m6167,4111l6167,4175m7066,4111l7066,4175m7961,4111l7961,4175e" filled="false" stroked="true" strokeweight=".999328pt" strokecolor="#858585">
              <v:path arrowok="t"/>
              <v:stroke dashstyle="solid"/>
            </v:shape>
            <v:rect style="position:absolute;left:3903;top:982;width:110;height:110" filled="true" fillcolor="#4f81bc" stroked="false">
              <v:fill type="solid"/>
            </v:rect>
            <v:rect style="position:absolute;left:5792;top:982;width:110;height:110" filled="true" fillcolor="#c0504d" stroked="false">
              <v:fill type="solid"/>
            </v:rect>
            <v:rect style="position:absolute;left:7620;top:982;width:110;height:110" filled="true" fillcolor="#9bba58" stroked="false">
              <v:fill type="solid"/>
            </v:rect>
            <v:rect style="position:absolute;left:1446;top:724;width:8065;height:4497" filled="false" stroked="true" strokeweight=".999328pt" strokecolor="#858585">
              <v:stroke dashstyle="solid"/>
            </v:rect>
            <v:shape style="position:absolute;left:4951;top:4740;width:667;height:200" type="#_x0000_t202" filled="false" stroked="false">
              <v:textbox inset="0,0,0,0">
                <w:txbxContent>
                  <w:p>
                    <w:pPr>
                      <w:spacing w:line="200" w:lineRule="exact" w:before="0"/>
                      <w:ind w:left="0" w:right="0" w:firstLine="0"/>
                      <w:jc w:val="left"/>
                      <w:rPr>
                        <w:rFonts w:ascii="Calibri"/>
                        <w:b/>
                        <w:sz w:val="20"/>
                      </w:rPr>
                    </w:pPr>
                    <w:r>
                      <w:rPr>
                        <w:rFonts w:ascii="Calibri"/>
                        <w:b/>
                        <w:sz w:val="20"/>
                      </w:rPr>
                      <w:t>Sources</w:t>
                    </w:r>
                  </w:p>
                </w:txbxContent>
              </v:textbox>
              <w10:wrap type="none"/>
            </v:shape>
            <v:shape style="position:absolute;left:7349;top:4342;width:346;height:200" type="#_x0000_t202" filled="false" stroked="false">
              <v:textbox inset="0,0,0,0">
                <w:txbxContent>
                  <w:p>
                    <w:pPr>
                      <w:spacing w:line="200" w:lineRule="exact" w:before="0"/>
                      <w:ind w:left="0" w:right="0" w:firstLine="0"/>
                      <w:jc w:val="left"/>
                      <w:rPr>
                        <w:rFonts w:ascii="Calibri"/>
                        <w:sz w:val="20"/>
                      </w:rPr>
                    </w:pPr>
                    <w:r>
                      <w:rPr>
                        <w:rFonts w:ascii="Calibri"/>
                        <w:sz w:val="20"/>
                      </w:rPr>
                      <w:t>SBG</w:t>
                    </w:r>
                  </w:p>
                </w:txbxContent>
              </v:textbox>
              <w10:wrap type="none"/>
            </v:shape>
            <v:shape style="position:absolute;left:6448;top:4342;width:354;height:200" type="#_x0000_t202" filled="false" stroked="false">
              <v:textbox inset="0,0,0,0">
                <w:txbxContent>
                  <w:p>
                    <w:pPr>
                      <w:spacing w:line="200" w:lineRule="exact" w:before="0"/>
                      <w:ind w:left="0" w:right="0" w:firstLine="0"/>
                      <w:jc w:val="left"/>
                      <w:rPr>
                        <w:rFonts w:ascii="Calibri"/>
                        <w:sz w:val="20"/>
                      </w:rPr>
                    </w:pPr>
                    <w:r>
                      <w:rPr>
                        <w:rFonts w:ascii="Calibri"/>
                        <w:sz w:val="20"/>
                      </w:rPr>
                      <w:t>SAG</w:t>
                    </w:r>
                  </w:p>
                </w:txbxContent>
              </v:textbox>
              <w10:wrap type="none"/>
            </v:shape>
            <v:shape style="position:absolute;left:5556;top:4342;width:351;height:200" type="#_x0000_t202" filled="false" stroked="false">
              <v:textbox inset="0,0,0,0">
                <w:txbxContent>
                  <w:p>
                    <w:pPr>
                      <w:spacing w:line="200" w:lineRule="exact" w:before="0"/>
                      <w:ind w:left="0" w:right="0" w:firstLine="0"/>
                      <w:jc w:val="left"/>
                      <w:rPr>
                        <w:rFonts w:ascii="Calibri"/>
                        <w:sz w:val="20"/>
                      </w:rPr>
                    </w:pPr>
                    <w:r>
                      <w:rPr>
                        <w:rFonts w:ascii="Calibri"/>
                        <w:sz w:val="20"/>
                      </w:rPr>
                      <w:t>SAD</w:t>
                    </w:r>
                  </w:p>
                </w:txbxContent>
              </v:textbox>
              <w10:wrap type="none"/>
            </v:shape>
            <v:shape style="position:absolute;left:4627;top:4342;width:411;height:200" type="#_x0000_t202" filled="false" stroked="false">
              <v:textbox inset="0,0,0,0">
                <w:txbxContent>
                  <w:p>
                    <w:pPr>
                      <w:spacing w:line="200" w:lineRule="exact" w:before="0"/>
                      <w:ind w:left="0" w:right="0" w:firstLine="0"/>
                      <w:jc w:val="left"/>
                      <w:rPr>
                        <w:rFonts w:ascii="Calibri"/>
                        <w:sz w:val="20"/>
                      </w:rPr>
                    </w:pPr>
                    <w:r>
                      <w:rPr>
                        <w:rFonts w:ascii="Calibri"/>
                        <w:sz w:val="20"/>
                      </w:rPr>
                      <w:t>BWC</w:t>
                    </w:r>
                  </w:p>
                </w:txbxContent>
              </v:textbox>
              <w10:wrap type="none"/>
            </v:shape>
            <v:shape style="position:absolute;left:3722;top:4342;width:430;height:200" type="#_x0000_t202" filled="false" stroked="false">
              <v:textbox inset="0,0,0,0">
                <w:txbxContent>
                  <w:p>
                    <w:pPr>
                      <w:spacing w:line="200" w:lineRule="exact" w:before="0"/>
                      <w:ind w:left="0" w:right="0" w:firstLine="0"/>
                      <w:jc w:val="left"/>
                      <w:rPr>
                        <w:rFonts w:ascii="Calibri"/>
                        <w:sz w:val="20"/>
                      </w:rPr>
                    </w:pPr>
                    <w:r>
                      <w:rPr>
                        <w:rFonts w:ascii="Calibri"/>
                        <w:sz w:val="20"/>
                      </w:rPr>
                      <w:t>SABZ</w:t>
                    </w:r>
                  </w:p>
                </w:txbxContent>
              </v:textbox>
              <w10:wrap type="none"/>
            </v:shape>
            <v:shape style="position:absolute;left:2870;top:4342;width:344;height:200" type="#_x0000_t202" filled="false" stroked="false">
              <v:textbox inset="0,0,0,0">
                <w:txbxContent>
                  <w:p>
                    <w:pPr>
                      <w:spacing w:line="200" w:lineRule="exact" w:before="0"/>
                      <w:ind w:left="0" w:right="0" w:firstLine="0"/>
                      <w:jc w:val="left"/>
                      <w:rPr>
                        <w:rFonts w:ascii="Calibri"/>
                        <w:sz w:val="20"/>
                      </w:rPr>
                    </w:pPr>
                    <w:r>
                      <w:rPr>
                        <w:rFonts w:ascii="Calibri"/>
                        <w:sz w:val="20"/>
                      </w:rPr>
                      <w:t>SAA</w:t>
                    </w:r>
                  </w:p>
                </w:txbxContent>
              </v:textbox>
              <w10:wrap type="none"/>
            </v:shape>
            <v:shape style="position:absolute;left:7819;top:948;width:354;height:200" type="#_x0000_t202" filled="false" stroked="false">
              <v:textbox inset="0,0,0,0">
                <w:txbxContent>
                  <w:p>
                    <w:pPr>
                      <w:spacing w:line="200" w:lineRule="exact" w:before="0"/>
                      <w:ind w:left="0" w:right="0" w:firstLine="0"/>
                      <w:jc w:val="left"/>
                      <w:rPr>
                        <w:rFonts w:ascii="Calibri"/>
                        <w:sz w:val="20"/>
                      </w:rPr>
                    </w:pPr>
                    <w:r>
                      <w:rPr>
                        <w:rFonts w:ascii="Calibri"/>
                        <w:sz w:val="20"/>
                      </w:rPr>
                      <w:t>Afril</w:t>
                    </w:r>
                  </w:p>
                </w:txbxContent>
              </v:textbox>
              <w10:wrap type="none"/>
            </v:shape>
            <v:shape style="position:absolute;left:5991;top:948;width:434;height:200" type="#_x0000_t202" filled="false" stroked="false">
              <v:textbox inset="0,0,0,0">
                <w:txbxContent>
                  <w:p>
                    <w:pPr>
                      <w:spacing w:line="200" w:lineRule="exact" w:before="0"/>
                      <w:ind w:left="0" w:right="0" w:firstLine="0"/>
                      <w:jc w:val="left"/>
                      <w:rPr>
                        <w:rFonts w:ascii="Calibri"/>
                        <w:sz w:val="20"/>
                      </w:rPr>
                    </w:pPr>
                    <w:r>
                      <w:rPr>
                        <w:rFonts w:ascii="Calibri"/>
                        <w:sz w:val="20"/>
                      </w:rPr>
                      <w:t>Mars</w:t>
                    </w:r>
                  </w:p>
                </w:txbxContent>
              </v:textbox>
              <w10:wrap type="none"/>
            </v:shape>
            <v:shape style="position:absolute;left:4061;top:948;width:585;height:200" type="#_x0000_t202" filled="false" stroked="false">
              <v:textbox inset="0,0,0,0">
                <w:txbxContent>
                  <w:p>
                    <w:pPr>
                      <w:spacing w:line="200" w:lineRule="exact" w:before="0"/>
                      <w:ind w:left="0" w:right="0" w:firstLine="0"/>
                      <w:jc w:val="left"/>
                      <w:rPr>
                        <w:rFonts w:ascii="Calibri" w:hAnsi="Calibri"/>
                        <w:sz w:val="20"/>
                      </w:rPr>
                    </w:pPr>
                    <w:r>
                      <w:rPr>
                        <w:rFonts w:ascii="Calibri" w:hAnsi="Calibri"/>
                        <w:sz w:val="20"/>
                      </w:rPr>
                      <w:t>Février</w:t>
                    </w:r>
                  </w:p>
                </w:txbxContent>
              </v:textbox>
              <w10:wrap type="none"/>
            </v:shape>
            <v:shape style="position:absolute;left:2197;top:1057;width:220;height:3177" type="#_x0000_t202" filled="false" stroked="false">
              <v:textbox inset="0,0,0,0">
                <w:txbxContent>
                  <w:p>
                    <w:pPr>
                      <w:spacing w:line="204" w:lineRule="exact" w:before="0"/>
                      <w:ind w:left="0" w:right="0" w:firstLine="0"/>
                      <w:jc w:val="left"/>
                      <w:rPr>
                        <w:rFonts w:ascii="Calibri"/>
                        <w:sz w:val="20"/>
                      </w:rPr>
                    </w:pPr>
                    <w:r>
                      <w:rPr>
                        <w:rFonts w:ascii="Calibri"/>
                        <w:sz w:val="20"/>
                      </w:rPr>
                      <w:t>10</w:t>
                    </w:r>
                  </w:p>
                  <w:p>
                    <w:pPr>
                      <w:spacing w:before="53"/>
                      <w:ind w:left="98" w:right="0" w:firstLine="0"/>
                      <w:jc w:val="left"/>
                      <w:rPr>
                        <w:rFonts w:ascii="Calibri"/>
                        <w:sz w:val="20"/>
                      </w:rPr>
                    </w:pPr>
                    <w:r>
                      <w:rPr>
                        <w:rFonts w:ascii="Calibri"/>
                        <w:sz w:val="20"/>
                      </w:rPr>
                      <w:t>9</w:t>
                    </w:r>
                  </w:p>
                  <w:p>
                    <w:pPr>
                      <w:spacing w:before="54"/>
                      <w:ind w:left="98" w:right="0" w:firstLine="0"/>
                      <w:jc w:val="left"/>
                      <w:rPr>
                        <w:rFonts w:ascii="Calibri"/>
                        <w:sz w:val="20"/>
                      </w:rPr>
                    </w:pPr>
                    <w:r>
                      <w:rPr>
                        <w:rFonts w:ascii="Calibri"/>
                        <w:sz w:val="20"/>
                      </w:rPr>
                      <w:t>8</w:t>
                    </w:r>
                  </w:p>
                  <w:p>
                    <w:pPr>
                      <w:spacing w:before="53"/>
                      <w:ind w:left="98" w:right="0" w:firstLine="0"/>
                      <w:jc w:val="left"/>
                      <w:rPr>
                        <w:rFonts w:ascii="Calibri"/>
                        <w:sz w:val="20"/>
                      </w:rPr>
                    </w:pPr>
                    <w:r>
                      <w:rPr>
                        <w:rFonts w:ascii="Calibri"/>
                        <w:sz w:val="20"/>
                      </w:rPr>
                      <w:t>7</w:t>
                    </w:r>
                  </w:p>
                  <w:p>
                    <w:pPr>
                      <w:spacing w:before="54"/>
                      <w:ind w:left="98" w:right="0" w:firstLine="0"/>
                      <w:jc w:val="left"/>
                      <w:rPr>
                        <w:rFonts w:ascii="Calibri"/>
                        <w:sz w:val="20"/>
                      </w:rPr>
                    </w:pPr>
                    <w:r>
                      <w:rPr>
                        <w:rFonts w:ascii="Calibri"/>
                        <w:w w:val="100"/>
                        <w:sz w:val="20"/>
                      </w:rPr>
                      <w:t>6</w:t>
                    </w:r>
                  </w:p>
                  <w:p>
                    <w:pPr>
                      <w:spacing w:before="53"/>
                      <w:ind w:left="98" w:right="0" w:firstLine="0"/>
                      <w:jc w:val="left"/>
                      <w:rPr>
                        <w:rFonts w:ascii="Calibri"/>
                        <w:sz w:val="20"/>
                      </w:rPr>
                    </w:pPr>
                    <w:r>
                      <w:rPr>
                        <w:rFonts w:ascii="Calibri"/>
                        <w:sz w:val="20"/>
                      </w:rPr>
                      <w:t>5</w:t>
                    </w:r>
                  </w:p>
                  <w:p>
                    <w:pPr>
                      <w:spacing w:before="54"/>
                      <w:ind w:left="98" w:right="0" w:firstLine="0"/>
                      <w:jc w:val="left"/>
                      <w:rPr>
                        <w:rFonts w:ascii="Calibri"/>
                        <w:sz w:val="20"/>
                      </w:rPr>
                    </w:pPr>
                    <w:r>
                      <w:rPr>
                        <w:rFonts w:ascii="Calibri"/>
                        <w:sz w:val="20"/>
                      </w:rPr>
                      <w:t>4</w:t>
                    </w:r>
                  </w:p>
                  <w:p>
                    <w:pPr>
                      <w:spacing w:before="53"/>
                      <w:ind w:left="98" w:right="0" w:firstLine="0"/>
                      <w:jc w:val="left"/>
                      <w:rPr>
                        <w:rFonts w:ascii="Calibri"/>
                        <w:sz w:val="20"/>
                      </w:rPr>
                    </w:pPr>
                    <w:r>
                      <w:rPr>
                        <w:rFonts w:ascii="Calibri"/>
                        <w:sz w:val="20"/>
                      </w:rPr>
                      <w:t>3</w:t>
                    </w:r>
                  </w:p>
                  <w:p>
                    <w:pPr>
                      <w:spacing w:before="54"/>
                      <w:ind w:left="98" w:right="0" w:firstLine="0"/>
                      <w:jc w:val="left"/>
                      <w:rPr>
                        <w:rFonts w:ascii="Calibri"/>
                        <w:sz w:val="20"/>
                      </w:rPr>
                    </w:pPr>
                    <w:r>
                      <w:rPr>
                        <w:rFonts w:ascii="Calibri"/>
                        <w:sz w:val="20"/>
                      </w:rPr>
                      <w:t>2</w:t>
                    </w:r>
                  </w:p>
                  <w:p>
                    <w:pPr>
                      <w:spacing w:before="53"/>
                      <w:ind w:left="98" w:right="0" w:firstLine="0"/>
                      <w:jc w:val="left"/>
                      <w:rPr>
                        <w:rFonts w:ascii="Calibri"/>
                        <w:sz w:val="20"/>
                      </w:rPr>
                    </w:pPr>
                    <w:r>
                      <w:rPr>
                        <w:rFonts w:ascii="Calibri"/>
                        <w:sz w:val="20"/>
                      </w:rPr>
                      <w:t>1</w:t>
                    </w:r>
                  </w:p>
                  <w:p>
                    <w:pPr>
                      <w:spacing w:line="240" w:lineRule="exact" w:before="54"/>
                      <w:ind w:left="98" w:right="0" w:firstLine="0"/>
                      <w:jc w:val="left"/>
                      <w:rPr>
                        <w:rFonts w:ascii="Calibri"/>
                        <w:sz w:val="20"/>
                      </w:rPr>
                    </w:pPr>
                    <w:r>
                      <w:rPr>
                        <w:rFonts w:ascii="Calibri"/>
                        <w:sz w:val="20"/>
                      </w:rPr>
                      <w:t>0</w:t>
                    </w:r>
                  </w:p>
                </w:txbxContent>
              </v:textbox>
              <w10:wrap type="none"/>
            </v:shape>
            <w10:wrap type="none"/>
          </v:group>
        </w:pict>
      </w:r>
      <w:r>
        <w:rPr/>
        <w:pict>
          <v:shape style="position:absolute;margin-left:90.713341pt;margin-top:73.700676pt;width:12pt;height:115.55pt;mso-position-horizontal-relative:page;mso-position-vertical-relative:paragraph;z-index:5944" type="#_x0000_t202" filled="false" stroked="false">
            <v:textbox inset="0,0,0,0" style="layout-flow:vertical;mso-layout-flow-alt:bottom-to-top">
              <w:txbxContent>
                <w:p>
                  <w:pPr>
                    <w:spacing w:line="224" w:lineRule="exact" w:before="0"/>
                    <w:ind w:left="20" w:right="0" w:firstLine="0"/>
                    <w:jc w:val="left"/>
                    <w:rPr>
                      <w:rFonts w:ascii="Calibri"/>
                      <w:b/>
                      <w:sz w:val="20"/>
                    </w:rPr>
                  </w:pPr>
                  <w:r>
                    <w:rPr>
                      <w:rFonts w:ascii="Calibri"/>
                      <w:b/>
                      <w:sz w:val="20"/>
                    </w:rPr>
                    <w:t>valeurs du nitrates (mg/ml)</w:t>
                  </w:r>
                </w:p>
              </w:txbxContent>
            </v:textbox>
            <w10:wrap type="none"/>
          </v:shape>
        </w:pict>
      </w:r>
      <w:r>
        <w:rPr/>
        <w:t>Ces valeurs sont faibles et restent inférieures aux normes fixées par l’OMS (2011) (50 mg/l).</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95"/>
        <w:ind w:left="600" w:right="1338"/>
        <w:jc w:val="center"/>
      </w:pPr>
      <w:r>
        <w:rPr>
          <w:b/>
        </w:rPr>
        <w:t>Figure 20 : </w:t>
      </w:r>
      <w:r>
        <w:rPr/>
        <w:t>variation mensuelle du nitrate (dans la période de février à avril 2016).</w:t>
      </w:r>
    </w:p>
    <w:p>
      <w:pPr>
        <w:spacing w:after="0"/>
        <w:jc w:val="center"/>
        <w:sectPr>
          <w:pgSz w:w="11900" w:h="16840"/>
          <w:pgMar w:header="727" w:footer="1061" w:top="1180" w:bottom="1260" w:left="740" w:right="0"/>
        </w:sectPr>
      </w:pPr>
    </w:p>
    <w:p>
      <w:pPr>
        <w:pStyle w:val="BodyText"/>
        <w:spacing w:before="4"/>
        <w:rPr>
          <w:sz w:val="16"/>
        </w:rPr>
      </w:pPr>
    </w:p>
    <w:p>
      <w:pPr>
        <w:pStyle w:val="Heading4"/>
        <w:numPr>
          <w:ilvl w:val="2"/>
          <w:numId w:val="27"/>
        </w:numPr>
        <w:tabs>
          <w:tab w:pos="1480" w:val="left" w:leader="none"/>
        </w:tabs>
        <w:spacing w:line="240" w:lineRule="auto" w:before="90" w:after="0"/>
        <w:ind w:left="1480" w:right="0" w:hanging="805"/>
        <w:jc w:val="left"/>
      </w:pPr>
      <w:bookmarkStart w:name="_TOC_250011" w:id="70"/>
      <w:r>
        <w:rPr/>
        <w:t>Les Nitrites</w:t>
      </w:r>
      <w:r>
        <w:rPr>
          <w:spacing w:val="-2"/>
        </w:rPr>
        <w:t> </w:t>
      </w:r>
      <w:bookmarkEnd w:id="70"/>
      <w:r>
        <w:rPr/>
        <w:t>:</w:t>
      </w:r>
    </w:p>
    <w:p>
      <w:pPr>
        <w:pStyle w:val="BodyText"/>
        <w:spacing w:before="9"/>
        <w:rPr>
          <w:b/>
          <w:sz w:val="20"/>
        </w:rPr>
      </w:pPr>
    </w:p>
    <w:p>
      <w:pPr>
        <w:pStyle w:val="BodyText"/>
        <w:spacing w:line="276" w:lineRule="auto" w:before="1"/>
        <w:ind w:left="675" w:right="1412" w:firstLine="707"/>
        <w:jc w:val="both"/>
      </w:pPr>
      <w:r>
        <w:rPr/>
        <w:pict>
          <v:group style="position:absolute;margin-left:71.850334pt;margin-top:72.661842pt;width:411.25pt;height:221.5pt;mso-position-horizontal-relative:page;mso-position-vertical-relative:paragraph;z-index:6376" coordorigin="1437,1453" coordsize="8225,4430">
            <v:shape style="position:absolute;left:2554;top:1695;width:6965;height:3274" type="#_x0000_t75" stroked="false">
              <v:imagedata r:id="rId130" o:title=""/>
            </v:shape>
            <v:shape style="position:absolute;left:2531;top:1907;width:6718;height:3085" coordorigin="2531,1907" coordsize="6718,3085" path="m2591,4934l2529,4934m2591,4330l2529,4330m2591,3727l2529,3727m2591,3123l2529,3123m2591,2520l2529,2520m2591,1916l2529,1916m2593,4934l2593,4998m3701,4934l3701,4998m4808,4934l4808,4998m5915,4934l5915,4998m7026,4934l7026,4998m8134,4934l8134,4998m9243,4934l9243,4998e" filled="false" stroked="true" strokeweight=".999328pt" strokecolor="#858585">
              <v:path arrowok="t"/>
              <v:stroke dashstyle="solid"/>
            </v:shape>
            <v:rect style="position:absolute;left:3587;top:1896;width:110;height:110" filled="true" fillcolor="#4f81bc" stroked="false">
              <v:fill type="solid"/>
            </v:rect>
            <v:rect style="position:absolute;left:5119;top:1896;width:110;height:110" filled="true" fillcolor="#c0504d" stroked="false">
              <v:fill type="solid"/>
            </v:rect>
            <v:rect style="position:absolute;left:6531;top:1896;width:110;height:110" filled="true" fillcolor="#9bba58" stroked="false">
              <v:fill type="solid"/>
            </v:rect>
            <v:rect style="position:absolute;left:1446;top:1472;width:8200;height:4408" filled="false" stroked="true" strokeweight=".999328pt" strokecolor="#858585">
              <v:stroke dashstyle="solid"/>
            </v:rect>
            <v:shape style="position:absolute;left:5601;top:5557;width:651;height:200" type="#_x0000_t202" filled="false" stroked="false">
              <v:textbox inset="0,0,0,0">
                <w:txbxContent>
                  <w:p>
                    <w:pPr>
                      <w:spacing w:line="200" w:lineRule="exact" w:before="0"/>
                      <w:ind w:left="0" w:right="0" w:firstLine="0"/>
                      <w:jc w:val="left"/>
                      <w:rPr>
                        <w:rFonts w:ascii="Calibri"/>
                        <w:b/>
                        <w:sz w:val="20"/>
                      </w:rPr>
                    </w:pPr>
                    <w:r>
                      <w:rPr>
                        <w:rFonts w:ascii="Calibri"/>
                        <w:b/>
                        <w:sz w:val="20"/>
                      </w:rPr>
                      <w:t>sources</w:t>
                    </w:r>
                  </w:p>
                </w:txbxContent>
              </v:textbox>
              <w10:wrap type="none"/>
            </v:shape>
            <v:shape style="position:absolute;left:8528;top:5164;width:346;height:200" type="#_x0000_t202" filled="false" stroked="false">
              <v:textbox inset="0,0,0,0">
                <w:txbxContent>
                  <w:p>
                    <w:pPr>
                      <w:spacing w:line="200" w:lineRule="exact" w:before="0"/>
                      <w:ind w:left="0" w:right="0" w:firstLine="0"/>
                      <w:jc w:val="left"/>
                      <w:rPr>
                        <w:rFonts w:ascii="Calibri"/>
                        <w:sz w:val="20"/>
                      </w:rPr>
                    </w:pPr>
                    <w:r>
                      <w:rPr>
                        <w:rFonts w:ascii="Calibri"/>
                        <w:sz w:val="20"/>
                      </w:rPr>
                      <w:t>SBG</w:t>
                    </w:r>
                  </w:p>
                </w:txbxContent>
              </v:textbox>
              <w10:wrap type="none"/>
            </v:shape>
            <v:shape style="position:absolute;left:7415;top:5164;width:354;height:200" type="#_x0000_t202" filled="false" stroked="false">
              <v:textbox inset="0,0,0,0">
                <w:txbxContent>
                  <w:p>
                    <w:pPr>
                      <w:spacing w:line="200" w:lineRule="exact" w:before="0"/>
                      <w:ind w:left="0" w:right="0" w:firstLine="0"/>
                      <w:jc w:val="left"/>
                      <w:rPr>
                        <w:rFonts w:ascii="Calibri"/>
                        <w:sz w:val="20"/>
                      </w:rPr>
                    </w:pPr>
                    <w:r>
                      <w:rPr>
                        <w:rFonts w:ascii="Calibri"/>
                        <w:sz w:val="20"/>
                      </w:rPr>
                      <w:t>SAG</w:t>
                    </w:r>
                  </w:p>
                </w:txbxContent>
              </v:textbox>
              <w10:wrap type="none"/>
            </v:shape>
            <v:shape style="position:absolute;left:6306;top:5164;width:351;height:200" type="#_x0000_t202" filled="false" stroked="false">
              <v:textbox inset="0,0,0,0">
                <w:txbxContent>
                  <w:p>
                    <w:pPr>
                      <w:spacing w:line="200" w:lineRule="exact" w:before="0"/>
                      <w:ind w:left="0" w:right="0" w:firstLine="0"/>
                      <w:jc w:val="left"/>
                      <w:rPr>
                        <w:rFonts w:ascii="Calibri"/>
                        <w:sz w:val="20"/>
                      </w:rPr>
                    </w:pPr>
                    <w:r>
                      <w:rPr>
                        <w:rFonts w:ascii="Calibri"/>
                        <w:sz w:val="20"/>
                      </w:rPr>
                      <w:t>SAD</w:t>
                    </w:r>
                  </w:p>
                </w:txbxContent>
              </v:textbox>
              <w10:wrap type="none"/>
            </v:shape>
            <v:shape style="position:absolute;left:5121;top:5164;width:503;height:200" type="#_x0000_t202" filled="false" stroked="false">
              <v:textbox inset="0,0,0,0">
                <w:txbxContent>
                  <w:p>
                    <w:pPr>
                      <w:spacing w:line="200" w:lineRule="exact" w:before="0"/>
                      <w:ind w:left="0" w:right="0" w:firstLine="0"/>
                      <w:jc w:val="left"/>
                      <w:rPr>
                        <w:rFonts w:ascii="Calibri"/>
                        <w:sz w:val="20"/>
                      </w:rPr>
                    </w:pPr>
                    <w:r>
                      <w:rPr>
                        <w:rFonts w:ascii="Calibri"/>
                        <w:sz w:val="20"/>
                      </w:rPr>
                      <w:t>SBWC</w:t>
                    </w:r>
                  </w:p>
                </w:txbxContent>
              </v:textbox>
              <w10:wrap type="none"/>
            </v:shape>
            <v:shape style="position:absolute;left:4029;top:5164;width:430;height:200" type="#_x0000_t202" filled="false" stroked="false">
              <v:textbox inset="0,0,0,0">
                <w:txbxContent>
                  <w:p>
                    <w:pPr>
                      <w:spacing w:line="200" w:lineRule="exact" w:before="0"/>
                      <w:ind w:left="0" w:right="0" w:firstLine="0"/>
                      <w:jc w:val="left"/>
                      <w:rPr>
                        <w:rFonts w:ascii="Calibri"/>
                        <w:sz w:val="20"/>
                      </w:rPr>
                    </w:pPr>
                    <w:r>
                      <w:rPr>
                        <w:rFonts w:ascii="Calibri"/>
                        <w:sz w:val="20"/>
                      </w:rPr>
                      <w:t>SABZ</w:t>
                    </w:r>
                  </w:p>
                </w:txbxContent>
              </v:textbox>
              <w10:wrap type="none"/>
            </v:shape>
            <v:shape style="position:absolute;left:2983;top:5164;width:344;height:200" type="#_x0000_t202" filled="false" stroked="false">
              <v:textbox inset="0,0,0,0">
                <w:txbxContent>
                  <w:p>
                    <w:pPr>
                      <w:spacing w:line="200" w:lineRule="exact" w:before="0"/>
                      <w:ind w:left="0" w:right="0" w:firstLine="0"/>
                      <w:jc w:val="left"/>
                      <w:rPr>
                        <w:rFonts w:ascii="Calibri"/>
                        <w:sz w:val="20"/>
                      </w:rPr>
                    </w:pPr>
                    <w:r>
                      <w:rPr>
                        <w:rFonts w:ascii="Calibri"/>
                        <w:sz w:val="20"/>
                      </w:rPr>
                      <w:t>SAA</w:t>
                    </w:r>
                  </w:p>
                </w:txbxContent>
              </v:textbox>
              <w10:wrap type="none"/>
            </v:shape>
            <v:shape style="position:absolute;left:2304;top:4855;width:122;height:201" type="#_x0000_t202" filled="false" stroked="false">
              <v:textbox inset="0,0,0,0">
                <w:txbxContent>
                  <w:p>
                    <w:pPr>
                      <w:spacing w:line="200" w:lineRule="exact" w:before="0"/>
                      <w:ind w:left="0" w:right="0" w:firstLine="0"/>
                      <w:jc w:val="left"/>
                      <w:rPr>
                        <w:rFonts w:ascii="Calibri"/>
                        <w:sz w:val="20"/>
                      </w:rPr>
                    </w:pPr>
                    <w:r>
                      <w:rPr>
                        <w:rFonts w:ascii="Calibri"/>
                        <w:w w:val="100"/>
                        <w:sz w:val="20"/>
                      </w:rPr>
                      <w:t>0</w:t>
                    </w:r>
                  </w:p>
                </w:txbxContent>
              </v:textbox>
              <w10:wrap type="none"/>
            </v:shape>
            <v:shape style="position:absolute;left:1853;top:4252;width:569;height:200" type="#_x0000_t202" filled="false" stroked="false">
              <v:textbox inset="0,0,0,0">
                <w:txbxContent>
                  <w:p>
                    <w:pPr>
                      <w:spacing w:line="200" w:lineRule="exact" w:before="0"/>
                      <w:ind w:left="0" w:right="0" w:firstLine="0"/>
                      <w:jc w:val="left"/>
                      <w:rPr>
                        <w:rFonts w:ascii="Calibri"/>
                        <w:sz w:val="20"/>
                      </w:rPr>
                    </w:pPr>
                    <w:r>
                      <w:rPr>
                        <w:rFonts w:ascii="Calibri"/>
                        <w:sz w:val="20"/>
                      </w:rPr>
                      <w:t>0,0005</w:t>
                    </w:r>
                  </w:p>
                </w:txbxContent>
              </v:textbox>
              <w10:wrap type="none"/>
            </v:shape>
            <v:shape style="position:absolute;left:1951;top:3648;width:470;height:200" type="#_x0000_t202" filled="false" stroked="false">
              <v:textbox inset="0,0,0,0">
                <w:txbxContent>
                  <w:p>
                    <w:pPr>
                      <w:spacing w:line="200" w:lineRule="exact" w:before="0"/>
                      <w:ind w:left="0" w:right="0" w:firstLine="0"/>
                      <w:jc w:val="left"/>
                      <w:rPr>
                        <w:rFonts w:ascii="Calibri"/>
                        <w:sz w:val="20"/>
                      </w:rPr>
                    </w:pPr>
                    <w:r>
                      <w:rPr>
                        <w:rFonts w:ascii="Calibri"/>
                        <w:sz w:val="20"/>
                      </w:rPr>
                      <w:t>0,001</w:t>
                    </w:r>
                  </w:p>
                </w:txbxContent>
              </v:textbox>
              <w10:wrap type="none"/>
            </v:shape>
            <v:shape style="position:absolute;left:1853;top:3045;width:569;height:200" type="#_x0000_t202" filled="false" stroked="false">
              <v:textbox inset="0,0,0,0">
                <w:txbxContent>
                  <w:p>
                    <w:pPr>
                      <w:spacing w:line="200" w:lineRule="exact" w:before="0"/>
                      <w:ind w:left="0" w:right="0" w:firstLine="0"/>
                      <w:jc w:val="left"/>
                      <w:rPr>
                        <w:rFonts w:ascii="Calibri"/>
                        <w:sz w:val="20"/>
                      </w:rPr>
                    </w:pPr>
                    <w:r>
                      <w:rPr>
                        <w:rFonts w:ascii="Calibri"/>
                        <w:sz w:val="20"/>
                      </w:rPr>
                      <w:t>0,0015</w:t>
                    </w:r>
                  </w:p>
                </w:txbxContent>
              </v:textbox>
              <w10:wrap type="none"/>
            </v:shape>
            <v:shape style="position:absolute;left:1951;top:2441;width:470;height:200" type="#_x0000_t202" filled="false" stroked="false">
              <v:textbox inset="0,0,0,0">
                <w:txbxContent>
                  <w:p>
                    <w:pPr>
                      <w:spacing w:line="200" w:lineRule="exact" w:before="0"/>
                      <w:ind w:left="0" w:right="0" w:firstLine="0"/>
                      <w:jc w:val="left"/>
                      <w:rPr>
                        <w:rFonts w:ascii="Calibri"/>
                        <w:sz w:val="20"/>
                      </w:rPr>
                    </w:pPr>
                    <w:r>
                      <w:rPr>
                        <w:rFonts w:ascii="Calibri"/>
                        <w:sz w:val="20"/>
                      </w:rPr>
                      <w:t>0,002</w:t>
                    </w:r>
                  </w:p>
                </w:txbxContent>
              </v:textbox>
              <w10:wrap type="none"/>
            </v:shape>
            <v:shape style="position:absolute;left:6730;top:1861;width:386;height:200" type="#_x0000_t202" filled="false" stroked="false">
              <v:textbox inset="0,0,0,0">
                <w:txbxContent>
                  <w:p>
                    <w:pPr>
                      <w:spacing w:line="200" w:lineRule="exact" w:before="0"/>
                      <w:ind w:left="0" w:right="0" w:firstLine="0"/>
                      <w:jc w:val="left"/>
                      <w:rPr>
                        <w:rFonts w:ascii="Calibri"/>
                        <w:sz w:val="20"/>
                      </w:rPr>
                    </w:pPr>
                    <w:r>
                      <w:rPr>
                        <w:rFonts w:ascii="Calibri"/>
                        <w:sz w:val="20"/>
                      </w:rPr>
                      <w:t>Avril</w:t>
                    </w:r>
                  </w:p>
                </w:txbxContent>
              </v:textbox>
              <w10:wrap type="none"/>
            </v:shape>
            <v:shape style="position:absolute;left:5319;top:1861;width:434;height:200" type="#_x0000_t202" filled="false" stroked="false">
              <v:textbox inset="0,0,0,0">
                <w:txbxContent>
                  <w:p>
                    <w:pPr>
                      <w:spacing w:line="200" w:lineRule="exact" w:before="0"/>
                      <w:ind w:left="0" w:right="0" w:firstLine="0"/>
                      <w:jc w:val="left"/>
                      <w:rPr>
                        <w:rFonts w:ascii="Calibri"/>
                        <w:sz w:val="20"/>
                      </w:rPr>
                    </w:pPr>
                    <w:r>
                      <w:rPr>
                        <w:rFonts w:ascii="Calibri"/>
                        <w:sz w:val="20"/>
                      </w:rPr>
                      <w:t>Mars</w:t>
                    </w:r>
                  </w:p>
                </w:txbxContent>
              </v:textbox>
              <w10:wrap type="none"/>
            </v:shape>
            <v:shape style="position:absolute;left:3786;top:1861;width:553;height:200" type="#_x0000_t202" filled="false" stroked="false">
              <v:textbox inset="0,0,0,0">
                <w:txbxContent>
                  <w:p>
                    <w:pPr>
                      <w:spacing w:line="200" w:lineRule="exact" w:before="0"/>
                      <w:ind w:left="0" w:right="0" w:firstLine="0"/>
                      <w:jc w:val="left"/>
                      <w:rPr>
                        <w:rFonts w:ascii="Calibri" w:hAnsi="Calibri"/>
                        <w:sz w:val="20"/>
                      </w:rPr>
                    </w:pPr>
                    <w:r>
                      <w:rPr>
                        <w:rFonts w:ascii="Calibri" w:hAnsi="Calibri"/>
                        <w:sz w:val="20"/>
                      </w:rPr>
                      <w:t>février</w:t>
                    </w:r>
                  </w:p>
                </w:txbxContent>
              </v:textbox>
              <w10:wrap type="none"/>
            </v:shape>
            <v:shape style="position:absolute;left:1853;top:1838;width:569;height:200" type="#_x0000_t202" filled="false" stroked="false">
              <v:textbox inset="0,0,0,0">
                <w:txbxContent>
                  <w:p>
                    <w:pPr>
                      <w:spacing w:line="200" w:lineRule="exact" w:before="0"/>
                      <w:ind w:left="0" w:right="0" w:firstLine="0"/>
                      <w:jc w:val="left"/>
                      <w:rPr>
                        <w:rFonts w:ascii="Calibri"/>
                        <w:sz w:val="20"/>
                      </w:rPr>
                    </w:pPr>
                    <w:r>
                      <w:rPr>
                        <w:rFonts w:ascii="Calibri"/>
                        <w:sz w:val="20"/>
                      </w:rPr>
                      <w:t>0,0025</w:t>
                    </w:r>
                  </w:p>
                </w:txbxContent>
              </v:textbox>
              <w10:wrap type="none"/>
            </v:shape>
            <w10:wrap type="none"/>
          </v:group>
        </w:pict>
      </w:r>
      <w:r>
        <w:rPr/>
        <w:pict>
          <v:shape style="position:absolute;margin-left:75.080101pt;margin-top:126.639442pt;width:12.05pt;height:115.6pt;mso-position-horizontal-relative:page;mso-position-vertical-relative:paragraph;z-index:6400" type="#_x0000_t202" filled="false" stroked="false">
            <v:textbox inset="0,0,0,0" style="layout-flow:vertical;mso-layout-flow-alt:bottom-to-top">
              <w:txbxContent>
                <w:p>
                  <w:pPr>
                    <w:spacing w:line="224" w:lineRule="exact" w:before="0"/>
                    <w:ind w:left="20" w:right="0" w:firstLine="0"/>
                    <w:jc w:val="left"/>
                    <w:rPr>
                      <w:rFonts w:ascii="Calibri"/>
                      <w:b/>
                      <w:sz w:val="20"/>
                    </w:rPr>
                  </w:pPr>
                  <w:r>
                    <w:rPr>
                      <w:rFonts w:ascii="Calibri"/>
                      <w:b/>
                      <w:sz w:val="20"/>
                    </w:rPr>
                    <w:t>valeurs des Nitrites(mg/ml)</w:t>
                  </w:r>
                </w:p>
              </w:txbxContent>
            </v:textbox>
            <w10:wrap type="none"/>
          </v:shape>
        </w:pict>
      </w:r>
      <w:r>
        <w:rPr>
          <w:spacing w:val="-4"/>
        </w:rPr>
        <w:t>La </w:t>
      </w:r>
      <w:r>
        <w:rPr/>
        <w:t>figure (21) nous montre que les valeurs de nitrites sont nulles dans les sources SAA, SABZ, SBWC, SBG, durant tous les mois de prélèvement, et enregistre une valeur très inférieure par rapport aux normes de l’OMS (2011) (0.1 mg/l) durant SAD (0.0021 mg/l) dans le mois de mars et (0.002 mg/l) dans la source de SAG pendant le même</w:t>
      </w:r>
      <w:r>
        <w:rPr>
          <w:spacing w:val="-19"/>
        </w:rPr>
        <w:t> </w:t>
      </w:r>
      <w:r>
        <w:rPr/>
        <w:t>mois.</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6"/>
        <w:rPr>
          <w:sz w:val="31"/>
        </w:rPr>
      </w:pPr>
    </w:p>
    <w:p>
      <w:pPr>
        <w:pStyle w:val="BodyText"/>
        <w:ind w:left="1147"/>
      </w:pPr>
      <w:r>
        <w:rPr>
          <w:b/>
        </w:rPr>
        <w:t>Figure 21 : </w:t>
      </w:r>
      <w:r>
        <w:rPr/>
        <w:t>Variation mensuelle des nitrates (dans la période de février à avril 2016)</w:t>
      </w:r>
    </w:p>
    <w:p>
      <w:pPr>
        <w:pStyle w:val="BodyText"/>
        <w:rPr>
          <w:sz w:val="26"/>
        </w:rPr>
      </w:pPr>
    </w:p>
    <w:p>
      <w:pPr>
        <w:pStyle w:val="BodyText"/>
        <w:rPr>
          <w:sz w:val="26"/>
        </w:rPr>
      </w:pPr>
    </w:p>
    <w:p>
      <w:pPr>
        <w:pStyle w:val="Heading4"/>
        <w:numPr>
          <w:ilvl w:val="2"/>
          <w:numId w:val="27"/>
        </w:numPr>
        <w:tabs>
          <w:tab w:pos="1539" w:val="left" w:leader="none"/>
        </w:tabs>
        <w:spacing w:line="240" w:lineRule="auto" w:before="166" w:after="0"/>
        <w:ind w:left="1538" w:right="0" w:hanging="863"/>
        <w:jc w:val="left"/>
      </w:pPr>
      <w:bookmarkStart w:name="_TOC_250010" w:id="71"/>
      <w:r>
        <w:rPr/>
        <w:t>Résidu sec</w:t>
      </w:r>
      <w:r>
        <w:rPr>
          <w:spacing w:val="4"/>
        </w:rPr>
        <w:t> </w:t>
      </w:r>
      <w:bookmarkEnd w:id="71"/>
      <w:r>
        <w:rPr/>
        <w:t>:</w:t>
      </w:r>
    </w:p>
    <w:p>
      <w:pPr>
        <w:pStyle w:val="BodyText"/>
        <w:spacing w:before="6"/>
        <w:rPr>
          <w:b/>
          <w:sz w:val="20"/>
        </w:rPr>
      </w:pPr>
    </w:p>
    <w:p>
      <w:pPr>
        <w:pStyle w:val="BodyText"/>
        <w:spacing w:line="276" w:lineRule="auto"/>
        <w:ind w:left="675" w:right="1414" w:firstLine="707"/>
        <w:jc w:val="both"/>
      </w:pPr>
      <w:r>
        <w:rPr/>
        <w:t>Les résultats représentés dans la figure ci-dessous montrent que les valeurs sont comprises entre 275 mg/l (valeur minimale) dans la source de SABZ durant le mois de février et 683 (valeur maximale) dans la source de SBG pendant le mois d’avril.</w:t>
      </w:r>
    </w:p>
    <w:p>
      <w:pPr>
        <w:pStyle w:val="BodyText"/>
        <w:spacing w:line="276" w:lineRule="auto" w:before="199"/>
        <w:ind w:left="675" w:right="1414" w:firstLine="707"/>
        <w:jc w:val="both"/>
      </w:pPr>
      <w:r>
        <w:rPr/>
        <w:t>L’OMS (2011) indique comme la concentration maximale admissible est </w:t>
      </w:r>
      <w:r>
        <w:rPr>
          <w:spacing w:val="-3"/>
        </w:rPr>
        <w:t>de </w:t>
      </w:r>
      <w:r>
        <w:rPr/>
        <w:t>1500 mg/l. D’après nos résultats on peut dire que les concentrations </w:t>
      </w:r>
      <w:r>
        <w:rPr>
          <w:spacing w:val="5"/>
        </w:rPr>
        <w:t>du </w:t>
      </w:r>
      <w:r>
        <w:rPr/>
        <w:t>résidu sec des sources échantillonnées ne dépassent pas les</w:t>
      </w:r>
      <w:r>
        <w:rPr>
          <w:spacing w:val="-6"/>
        </w:rPr>
        <w:t> </w:t>
      </w:r>
      <w:r>
        <w:rPr/>
        <w:t>normes.</w:t>
      </w:r>
    </w:p>
    <w:p>
      <w:pPr>
        <w:spacing w:after="0" w:line="276" w:lineRule="auto"/>
        <w:jc w:val="both"/>
        <w:sectPr>
          <w:pgSz w:w="11900" w:h="16840"/>
          <w:pgMar w:header="727" w:footer="1061" w:top="1180" w:bottom="1260" w:left="74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pPr>
    </w:p>
    <w:p>
      <w:pPr>
        <w:pStyle w:val="BodyText"/>
        <w:spacing w:before="90"/>
        <w:ind w:left="1195"/>
      </w:pPr>
      <w:r>
        <w:rPr/>
        <w:pict>
          <v:group style="position:absolute;margin-left:71.850334pt;margin-top:-238.462128pt;width:426.25pt;height:231.25pt;mso-position-horizontal-relative:page;mso-position-vertical-relative:paragraph;z-index:6712" coordorigin="1437,-4769" coordsize="8525,4625">
            <v:shape style="position:absolute;left:2870;top:-4512;width:6807;height:3670" type="#_x0000_t75" stroked="false">
              <v:imagedata r:id="rId131" o:title=""/>
            </v:shape>
            <v:shape style="position:absolute;left:2847;top:-4308;width:6567;height:3487" coordorigin="2847,-4307" coordsize="6567,3487" path="m2908,-877l2845,-877m2908,-1367l2845,-1367m2908,-1855l2845,-1855m2908,-2343l2845,-2343m2908,-2830l2845,-2830m2908,-3318l2845,-3318m2908,-3810l2845,-3810m2908,-4297l2845,-4297m2909,-876l2909,-813m3992,-876l3992,-813m5076,-876l5076,-813m6159,-876l6159,-813m7242,-876l7242,-813m8325,-876l8325,-813m9408,-876l9408,-813e" filled="false" stroked="true" strokeweight=".999328pt" strokecolor="#858585">
              <v:path arrowok="t"/>
              <v:stroke dashstyle="solid"/>
            </v:shape>
            <v:rect style="position:absolute;left:4533;top:-4410;width:110;height:110" filled="true" fillcolor="#4f81bc" stroked="false">
              <v:fill type="solid"/>
            </v:rect>
            <v:rect style="position:absolute;left:5736;top:-4410;width:110;height:110" filled="true" fillcolor="#c0504d" stroked="false">
              <v:fill type="solid"/>
            </v:rect>
            <v:rect style="position:absolute;left:6832;top:-4410;width:110;height:110" filled="true" fillcolor="#9bba58" stroked="false">
              <v:fill type="solid"/>
            </v:rect>
            <v:rect style="position:absolute;left:1446;top:-4750;width:8500;height:4602" filled="false" stroked="true" strokeweight=".999328pt" strokecolor="#858585">
              <v:stroke dashstyle="solid"/>
            </v:rect>
            <v:shape style="position:absolute;left:5834;top:-415;width:668;height:201" type="#_x0000_t202" filled="false" stroked="false">
              <v:textbox inset="0,0,0,0">
                <w:txbxContent>
                  <w:p>
                    <w:pPr>
                      <w:spacing w:line="200" w:lineRule="exact" w:before="0"/>
                      <w:ind w:left="0" w:right="0" w:firstLine="0"/>
                      <w:jc w:val="left"/>
                      <w:rPr>
                        <w:rFonts w:ascii="Calibri"/>
                        <w:b/>
                        <w:sz w:val="20"/>
                      </w:rPr>
                    </w:pPr>
                    <w:r>
                      <w:rPr>
                        <w:rFonts w:ascii="Calibri"/>
                        <w:b/>
                        <w:sz w:val="20"/>
                      </w:rPr>
                      <w:t>Sources</w:t>
                    </w:r>
                  </w:p>
                </w:txbxContent>
              </v:textbox>
              <w10:wrap type="none"/>
            </v:shape>
            <v:shape style="position:absolute;left:8682;top:-648;width:346;height:200" type="#_x0000_t202" filled="false" stroked="false">
              <v:textbox inset="0,0,0,0">
                <w:txbxContent>
                  <w:p>
                    <w:pPr>
                      <w:spacing w:line="200" w:lineRule="exact" w:before="0"/>
                      <w:ind w:left="0" w:right="0" w:firstLine="0"/>
                      <w:jc w:val="left"/>
                      <w:rPr>
                        <w:rFonts w:ascii="Calibri"/>
                        <w:sz w:val="20"/>
                      </w:rPr>
                    </w:pPr>
                    <w:r>
                      <w:rPr>
                        <w:rFonts w:ascii="Calibri"/>
                        <w:sz w:val="20"/>
                      </w:rPr>
                      <w:t>SBG</w:t>
                    </w:r>
                  </w:p>
                </w:txbxContent>
              </v:textbox>
              <w10:wrap type="none"/>
            </v:shape>
            <v:shape style="position:absolute;left:7569;top:-648;width:446;height:200" type="#_x0000_t202" filled="false" stroked="false">
              <v:textbox inset="0,0,0,0">
                <w:txbxContent>
                  <w:p>
                    <w:pPr>
                      <w:spacing w:line="200" w:lineRule="exact" w:before="0"/>
                      <w:ind w:left="0" w:right="0" w:firstLine="0"/>
                      <w:jc w:val="left"/>
                      <w:rPr>
                        <w:rFonts w:ascii="Calibri"/>
                        <w:sz w:val="20"/>
                      </w:rPr>
                    </w:pPr>
                    <w:r>
                      <w:rPr>
                        <w:rFonts w:ascii="Calibri"/>
                        <w:sz w:val="20"/>
                      </w:rPr>
                      <w:t>SSAG</w:t>
                    </w:r>
                  </w:p>
                </w:txbxContent>
              </v:textbox>
              <w10:wrap type="none"/>
            </v:shape>
            <v:shape style="position:absolute;left:6534;top:-648;width:351;height:200" type="#_x0000_t202" filled="false" stroked="false">
              <v:textbox inset="0,0,0,0">
                <w:txbxContent>
                  <w:p>
                    <w:pPr>
                      <w:spacing w:line="200" w:lineRule="exact" w:before="0"/>
                      <w:ind w:left="0" w:right="0" w:firstLine="0"/>
                      <w:jc w:val="left"/>
                      <w:rPr>
                        <w:rFonts w:ascii="Calibri"/>
                        <w:sz w:val="20"/>
                      </w:rPr>
                    </w:pPr>
                    <w:r>
                      <w:rPr>
                        <w:rFonts w:ascii="Calibri"/>
                        <w:sz w:val="20"/>
                      </w:rPr>
                      <w:t>SAD</w:t>
                    </w:r>
                  </w:p>
                </w:txbxContent>
              </v:textbox>
              <w10:wrap type="none"/>
            </v:shape>
            <v:shape style="position:absolute;left:5329;top:-648;width:503;height:200" type="#_x0000_t202" filled="false" stroked="false">
              <v:textbox inset="0,0,0,0">
                <w:txbxContent>
                  <w:p>
                    <w:pPr>
                      <w:spacing w:line="200" w:lineRule="exact" w:before="0"/>
                      <w:ind w:left="0" w:right="0" w:firstLine="0"/>
                      <w:jc w:val="left"/>
                      <w:rPr>
                        <w:rFonts w:ascii="Calibri"/>
                        <w:sz w:val="20"/>
                      </w:rPr>
                    </w:pPr>
                    <w:r>
                      <w:rPr>
                        <w:rFonts w:ascii="Calibri"/>
                        <w:sz w:val="20"/>
                      </w:rPr>
                      <w:t>SBWC</w:t>
                    </w:r>
                  </w:p>
                </w:txbxContent>
              </v:textbox>
              <w10:wrap type="none"/>
            </v:shape>
            <v:shape style="position:absolute;left:4308;top:-648;width:430;height:200" type="#_x0000_t202" filled="false" stroked="false">
              <v:textbox inset="0,0,0,0">
                <w:txbxContent>
                  <w:p>
                    <w:pPr>
                      <w:spacing w:line="200" w:lineRule="exact" w:before="0"/>
                      <w:ind w:left="0" w:right="0" w:firstLine="0"/>
                      <w:jc w:val="left"/>
                      <w:rPr>
                        <w:rFonts w:ascii="Calibri"/>
                        <w:sz w:val="20"/>
                      </w:rPr>
                    </w:pPr>
                    <w:r>
                      <w:rPr>
                        <w:rFonts w:ascii="Calibri"/>
                        <w:sz w:val="20"/>
                      </w:rPr>
                      <w:t>SABZ</w:t>
                    </w:r>
                  </w:p>
                </w:txbxContent>
              </v:textbox>
              <w10:wrap type="none"/>
            </v:shape>
            <v:shape style="position:absolute;left:3264;top:-648;width:344;height:200" type="#_x0000_t202" filled="false" stroked="false">
              <v:textbox inset="0,0,0,0">
                <w:txbxContent>
                  <w:p>
                    <w:pPr>
                      <w:spacing w:line="200" w:lineRule="exact" w:before="0"/>
                      <w:ind w:left="0" w:right="0" w:firstLine="0"/>
                      <w:jc w:val="left"/>
                      <w:rPr>
                        <w:rFonts w:ascii="Calibri"/>
                        <w:sz w:val="20"/>
                      </w:rPr>
                    </w:pPr>
                    <w:r>
                      <w:rPr>
                        <w:rFonts w:ascii="Calibri"/>
                        <w:sz w:val="20"/>
                      </w:rPr>
                      <w:t>SAA</w:t>
                    </w:r>
                  </w:p>
                </w:txbxContent>
              </v:textbox>
              <w10:wrap type="none"/>
            </v:shape>
            <v:shape style="position:absolute;left:2418;top:-3888;width:323;height:3132" type="#_x0000_t202" filled="false" stroked="false">
              <v:textbox inset="0,0,0,0">
                <w:txbxContent>
                  <w:p>
                    <w:pPr>
                      <w:spacing w:line="204" w:lineRule="exact" w:before="0"/>
                      <w:ind w:left="0" w:right="0" w:firstLine="0"/>
                      <w:jc w:val="left"/>
                      <w:rPr>
                        <w:rFonts w:ascii="Calibri"/>
                        <w:sz w:val="20"/>
                      </w:rPr>
                    </w:pPr>
                    <w:r>
                      <w:rPr>
                        <w:rFonts w:ascii="Calibri"/>
                        <w:spacing w:val="-2"/>
                        <w:sz w:val="20"/>
                      </w:rPr>
                      <w:t>600</w:t>
                    </w:r>
                  </w:p>
                  <w:p>
                    <w:pPr>
                      <w:spacing w:line="240" w:lineRule="auto" w:before="3"/>
                      <w:rPr>
                        <w:sz w:val="21"/>
                      </w:rPr>
                    </w:pPr>
                  </w:p>
                  <w:p>
                    <w:pPr>
                      <w:spacing w:before="0"/>
                      <w:ind w:left="0" w:right="0" w:firstLine="0"/>
                      <w:jc w:val="left"/>
                      <w:rPr>
                        <w:rFonts w:ascii="Calibri"/>
                        <w:sz w:val="20"/>
                      </w:rPr>
                    </w:pPr>
                    <w:r>
                      <w:rPr>
                        <w:rFonts w:ascii="Calibri"/>
                        <w:spacing w:val="-2"/>
                        <w:sz w:val="20"/>
                      </w:rPr>
                      <w:t>500</w:t>
                    </w:r>
                  </w:p>
                  <w:p>
                    <w:pPr>
                      <w:spacing w:line="240" w:lineRule="auto" w:before="3"/>
                      <w:rPr>
                        <w:sz w:val="21"/>
                      </w:rPr>
                    </w:pPr>
                  </w:p>
                  <w:p>
                    <w:pPr>
                      <w:spacing w:before="0"/>
                      <w:ind w:left="0" w:right="0" w:firstLine="0"/>
                      <w:jc w:val="left"/>
                      <w:rPr>
                        <w:rFonts w:ascii="Calibri"/>
                        <w:sz w:val="20"/>
                      </w:rPr>
                    </w:pPr>
                    <w:r>
                      <w:rPr>
                        <w:rFonts w:ascii="Calibri"/>
                        <w:spacing w:val="-2"/>
                        <w:sz w:val="20"/>
                      </w:rPr>
                      <w:t>400</w:t>
                    </w:r>
                  </w:p>
                  <w:p>
                    <w:pPr>
                      <w:spacing w:line="240" w:lineRule="auto" w:before="3"/>
                      <w:rPr>
                        <w:sz w:val="21"/>
                      </w:rPr>
                    </w:pPr>
                  </w:p>
                  <w:p>
                    <w:pPr>
                      <w:spacing w:before="0"/>
                      <w:ind w:left="0" w:right="0" w:firstLine="0"/>
                      <w:jc w:val="left"/>
                      <w:rPr>
                        <w:rFonts w:ascii="Calibri"/>
                        <w:sz w:val="20"/>
                      </w:rPr>
                    </w:pPr>
                    <w:r>
                      <w:rPr>
                        <w:rFonts w:ascii="Calibri"/>
                        <w:spacing w:val="-2"/>
                        <w:sz w:val="20"/>
                      </w:rPr>
                      <w:t>300</w:t>
                    </w:r>
                  </w:p>
                  <w:p>
                    <w:pPr>
                      <w:spacing w:line="240" w:lineRule="auto" w:before="3"/>
                      <w:rPr>
                        <w:sz w:val="21"/>
                      </w:rPr>
                    </w:pPr>
                  </w:p>
                  <w:p>
                    <w:pPr>
                      <w:spacing w:before="0"/>
                      <w:ind w:left="0" w:right="0" w:firstLine="0"/>
                      <w:jc w:val="left"/>
                      <w:rPr>
                        <w:rFonts w:ascii="Calibri"/>
                        <w:sz w:val="20"/>
                      </w:rPr>
                    </w:pPr>
                    <w:r>
                      <w:rPr>
                        <w:rFonts w:ascii="Calibri"/>
                        <w:spacing w:val="-2"/>
                        <w:sz w:val="20"/>
                      </w:rPr>
                      <w:t>200</w:t>
                    </w:r>
                  </w:p>
                  <w:p>
                    <w:pPr>
                      <w:spacing w:line="240" w:lineRule="auto" w:before="3"/>
                      <w:rPr>
                        <w:sz w:val="21"/>
                      </w:rPr>
                    </w:pPr>
                  </w:p>
                  <w:p>
                    <w:pPr>
                      <w:spacing w:before="0"/>
                      <w:ind w:left="0" w:right="0" w:firstLine="0"/>
                      <w:jc w:val="left"/>
                      <w:rPr>
                        <w:rFonts w:ascii="Calibri"/>
                        <w:sz w:val="20"/>
                      </w:rPr>
                    </w:pPr>
                    <w:r>
                      <w:rPr>
                        <w:rFonts w:ascii="Calibri"/>
                        <w:spacing w:val="-2"/>
                        <w:sz w:val="20"/>
                      </w:rPr>
                      <w:t>100</w:t>
                    </w:r>
                  </w:p>
                  <w:p>
                    <w:pPr>
                      <w:spacing w:line="240" w:lineRule="auto" w:before="3"/>
                      <w:rPr>
                        <w:sz w:val="21"/>
                      </w:rPr>
                    </w:pPr>
                  </w:p>
                  <w:p>
                    <w:pPr>
                      <w:spacing w:line="240" w:lineRule="exact" w:before="0"/>
                      <w:ind w:left="201" w:right="0" w:firstLine="0"/>
                      <w:jc w:val="left"/>
                      <w:rPr>
                        <w:rFonts w:ascii="Calibri"/>
                        <w:sz w:val="20"/>
                      </w:rPr>
                    </w:pPr>
                    <w:r>
                      <w:rPr>
                        <w:rFonts w:ascii="Calibri"/>
                        <w:sz w:val="20"/>
                      </w:rPr>
                      <w:t>0</w:t>
                    </w:r>
                  </w:p>
                </w:txbxContent>
              </v:textbox>
              <w10:wrap type="none"/>
            </v:shape>
            <v:shape style="position:absolute;left:7031;top:-4446;width:386;height:200" type="#_x0000_t202" filled="false" stroked="false">
              <v:textbox inset="0,0,0,0">
                <w:txbxContent>
                  <w:p>
                    <w:pPr>
                      <w:spacing w:line="200" w:lineRule="exact" w:before="0"/>
                      <w:ind w:left="0" w:right="0" w:firstLine="0"/>
                      <w:jc w:val="left"/>
                      <w:rPr>
                        <w:rFonts w:ascii="Calibri"/>
                        <w:sz w:val="20"/>
                      </w:rPr>
                    </w:pPr>
                    <w:r>
                      <w:rPr>
                        <w:rFonts w:ascii="Calibri"/>
                        <w:sz w:val="20"/>
                      </w:rPr>
                      <w:t>Avril</w:t>
                    </w:r>
                  </w:p>
                </w:txbxContent>
              </v:textbox>
              <w10:wrap type="none"/>
            </v:shape>
            <v:shape style="position:absolute;left:5935;top:-4446;width:434;height:200" type="#_x0000_t202" filled="false" stroked="false">
              <v:textbox inset="0,0,0,0">
                <w:txbxContent>
                  <w:p>
                    <w:pPr>
                      <w:spacing w:line="200" w:lineRule="exact" w:before="0"/>
                      <w:ind w:left="0" w:right="0" w:firstLine="0"/>
                      <w:jc w:val="left"/>
                      <w:rPr>
                        <w:rFonts w:ascii="Calibri"/>
                        <w:sz w:val="20"/>
                      </w:rPr>
                    </w:pPr>
                    <w:r>
                      <w:rPr>
                        <w:rFonts w:ascii="Calibri"/>
                        <w:sz w:val="20"/>
                      </w:rPr>
                      <w:t>Mars</w:t>
                    </w:r>
                  </w:p>
                </w:txbxContent>
              </v:textbox>
              <w10:wrap type="none"/>
            </v:shape>
            <v:shape style="position:absolute;left:4692;top:-4446;width:585;height:200" type="#_x0000_t202" filled="false" stroked="false">
              <v:textbox inset="0,0,0,0">
                <w:txbxContent>
                  <w:p>
                    <w:pPr>
                      <w:spacing w:line="200" w:lineRule="exact" w:before="0"/>
                      <w:ind w:left="0" w:right="0" w:firstLine="0"/>
                      <w:jc w:val="left"/>
                      <w:rPr>
                        <w:rFonts w:ascii="Calibri" w:hAnsi="Calibri"/>
                        <w:sz w:val="20"/>
                      </w:rPr>
                    </w:pPr>
                    <w:r>
                      <w:rPr>
                        <w:rFonts w:ascii="Calibri" w:hAnsi="Calibri"/>
                        <w:sz w:val="20"/>
                      </w:rPr>
                      <w:t>Février</w:t>
                    </w:r>
                  </w:p>
                </w:txbxContent>
              </v:textbox>
              <w10:wrap type="none"/>
            </v:shape>
            <v:shape style="position:absolute;left:2418;top:-4377;width:320;height:201" type="#_x0000_t202" filled="false" stroked="false">
              <v:textbox inset="0,0,0,0">
                <w:txbxContent>
                  <w:p>
                    <w:pPr>
                      <w:spacing w:line="200" w:lineRule="exact" w:before="0"/>
                      <w:ind w:left="0" w:right="0" w:firstLine="0"/>
                      <w:jc w:val="left"/>
                      <w:rPr>
                        <w:rFonts w:ascii="Calibri"/>
                        <w:sz w:val="20"/>
                      </w:rPr>
                    </w:pPr>
                    <w:r>
                      <w:rPr>
                        <w:rFonts w:ascii="Calibri"/>
                        <w:sz w:val="20"/>
                      </w:rPr>
                      <w:t>700</w:t>
                    </w:r>
                  </w:p>
                </w:txbxContent>
              </v:textbox>
              <w10:wrap type="none"/>
            </v:shape>
            <w10:wrap type="none"/>
          </v:group>
        </w:pict>
      </w:r>
      <w:r>
        <w:rPr/>
        <w:pict>
          <v:shape style="position:absolute;margin-left:102.330536pt;margin-top:-188.345612pt;width:12pt;height:118.55pt;mso-position-horizontal-relative:page;mso-position-vertical-relative:paragraph;z-index:7000" type="#_x0000_t202" filled="false" stroked="false">
            <v:textbox inset="0,0,0,0" style="layout-flow:vertical;mso-layout-flow-alt:bottom-to-top">
              <w:txbxContent>
                <w:p>
                  <w:pPr>
                    <w:spacing w:line="224" w:lineRule="exact" w:before="0"/>
                    <w:ind w:left="20" w:right="0" w:firstLine="0"/>
                    <w:jc w:val="left"/>
                    <w:rPr>
                      <w:rFonts w:ascii="Calibri" w:hAnsi="Calibri"/>
                      <w:b/>
                      <w:sz w:val="20"/>
                    </w:rPr>
                  </w:pPr>
                  <w:r>
                    <w:rPr>
                      <w:rFonts w:ascii="Calibri" w:hAnsi="Calibri"/>
                      <w:b/>
                      <w:sz w:val="20"/>
                    </w:rPr>
                    <w:t>valeurs du rési du sec (mg/l)</w:t>
                  </w:r>
                </w:p>
              </w:txbxContent>
            </v:textbox>
            <w10:wrap type="none"/>
          </v:shape>
        </w:pict>
      </w:r>
      <w:r>
        <w:rPr>
          <w:b/>
        </w:rPr>
        <w:t>Figure 22 : </w:t>
      </w:r>
      <w:r>
        <w:rPr/>
        <w:t>Variation mensuelle du résidu sec de l’eau des sources échantillonnées.</w:t>
      </w:r>
    </w:p>
    <w:p>
      <w:pPr>
        <w:pStyle w:val="BodyText"/>
        <w:rPr>
          <w:sz w:val="26"/>
        </w:rPr>
      </w:pPr>
    </w:p>
    <w:p>
      <w:pPr>
        <w:pStyle w:val="BodyText"/>
        <w:rPr>
          <w:sz w:val="26"/>
        </w:rPr>
      </w:pPr>
    </w:p>
    <w:p>
      <w:pPr>
        <w:pStyle w:val="Heading4"/>
        <w:numPr>
          <w:ilvl w:val="2"/>
          <w:numId w:val="28"/>
        </w:numPr>
        <w:tabs>
          <w:tab w:pos="1539" w:val="left" w:leader="none"/>
        </w:tabs>
        <w:spacing w:line="240" w:lineRule="auto" w:before="166" w:after="0"/>
        <w:ind w:left="1538" w:right="0" w:hanging="863"/>
        <w:jc w:val="left"/>
      </w:pPr>
      <w:bookmarkStart w:name="_TOC_250009" w:id="72"/>
      <w:r>
        <w:rPr/>
        <w:t>Le Chlorure</w:t>
      </w:r>
      <w:r>
        <w:rPr>
          <w:spacing w:val="2"/>
        </w:rPr>
        <w:t> </w:t>
      </w:r>
      <w:bookmarkEnd w:id="72"/>
      <w:r>
        <w:rPr/>
        <w:t>:</w:t>
      </w:r>
    </w:p>
    <w:p>
      <w:pPr>
        <w:pStyle w:val="BodyText"/>
        <w:spacing w:before="5"/>
        <w:rPr>
          <w:b/>
          <w:sz w:val="20"/>
        </w:rPr>
      </w:pPr>
    </w:p>
    <w:p>
      <w:pPr>
        <w:pStyle w:val="BodyText"/>
        <w:spacing w:line="276" w:lineRule="auto"/>
        <w:ind w:left="675" w:right="1413" w:firstLine="707"/>
        <w:jc w:val="both"/>
      </w:pPr>
      <w:r>
        <w:rPr/>
        <w:t>La figure ci-dessous regroupe les valeurs des chlorures, on nous constatons que leurs concentrations dans les eaux des sources échantillonnées sont très inférieurs à la norme 250 mg/l décrite par l’OMS (2011).</w:t>
      </w:r>
    </w:p>
    <w:p>
      <w:pPr>
        <w:pStyle w:val="BodyText"/>
        <w:spacing w:line="276" w:lineRule="auto" w:before="200"/>
        <w:ind w:left="675" w:right="1419" w:firstLine="707"/>
        <w:jc w:val="both"/>
      </w:pPr>
      <w:r>
        <w:rPr/>
        <w:pict>
          <v:group style="position:absolute;margin-left:71.850334pt;margin-top:67.018730pt;width:416.3pt;height:213.85pt;mso-position-horizontal-relative:page;mso-position-vertical-relative:paragraph;z-index:6952" coordorigin="1437,1340" coordsize="8326,4277">
            <v:shape style="position:absolute;left:2388;top:1570;width:7232;height:3483" type="#_x0000_t75" stroked="false">
              <v:imagedata r:id="rId132" o:title=""/>
            </v:shape>
            <v:shape style="position:absolute;left:2363;top:1794;width:6983;height:3284" coordorigin="2363,1794" coordsize="6983,3284" path="m2423,5016l2361,5016m2423,4692l2361,4692m2423,4373l2361,4373m2423,4049l2361,4049m2423,3729l2361,3729m2423,3409l2361,3409m2423,3085l2361,3085m2423,2766l2361,2766m2423,2442l2361,2442m2423,2122l2361,2122m2423,1798l2361,1798m2421,5016l2421,5080m3577,5016l3577,5080m4728,5016l4728,5080m5883,5016l5883,5080m7034,5016l7034,5080m8185,5016l8185,5080m9339,5016l9339,5080e" filled="false" stroked="true" strokeweight=".999328pt" strokecolor="#858585">
              <v:path arrowok="t"/>
              <v:stroke dashstyle="solid"/>
            </v:shape>
            <v:rect style="position:absolute;left:3213;top:1506;width:110;height:110" filled="true" fillcolor="#4f81bc" stroked="false">
              <v:fill type="solid"/>
            </v:rect>
            <v:rect style="position:absolute;left:4713;top:1506;width:110;height:110" filled="true" fillcolor="#c0504d" stroked="false">
              <v:fill type="solid"/>
            </v:rect>
            <v:rect style="position:absolute;left:6016;top:1506;width:110;height:110" filled="true" fillcolor="#9bba58" stroked="false">
              <v:fill type="solid"/>
            </v:rect>
            <v:rect style="position:absolute;left:1446;top:1354;width:8301;height:4254" filled="false" stroked="true" strokeweight=".999328pt" strokecolor="#858585">
              <v:stroke dashstyle="solid"/>
            </v:rect>
            <v:shape style="position:absolute;left:8602;top:5247;width:346;height:200" type="#_x0000_t202" filled="false" stroked="false">
              <v:textbox inset="0,0,0,0">
                <w:txbxContent>
                  <w:p>
                    <w:pPr>
                      <w:spacing w:line="200" w:lineRule="exact" w:before="0"/>
                      <w:ind w:left="0" w:right="0" w:firstLine="0"/>
                      <w:jc w:val="left"/>
                      <w:rPr>
                        <w:rFonts w:ascii="Calibri"/>
                        <w:sz w:val="20"/>
                      </w:rPr>
                    </w:pPr>
                    <w:r>
                      <w:rPr>
                        <w:rFonts w:ascii="Calibri"/>
                        <w:sz w:val="20"/>
                      </w:rPr>
                      <w:t>SBG</w:t>
                    </w:r>
                  </w:p>
                </w:txbxContent>
              </v:textbox>
              <w10:wrap type="none"/>
            </v:shape>
            <v:shape style="position:absolute;left:7445;top:5247;width:354;height:200" type="#_x0000_t202" filled="false" stroked="false">
              <v:textbox inset="0,0,0,0">
                <w:txbxContent>
                  <w:p>
                    <w:pPr>
                      <w:spacing w:line="200" w:lineRule="exact" w:before="0"/>
                      <w:ind w:left="0" w:right="0" w:firstLine="0"/>
                      <w:jc w:val="left"/>
                      <w:rPr>
                        <w:rFonts w:ascii="Calibri"/>
                        <w:sz w:val="20"/>
                      </w:rPr>
                    </w:pPr>
                    <w:r>
                      <w:rPr>
                        <w:rFonts w:ascii="Calibri"/>
                        <w:sz w:val="20"/>
                      </w:rPr>
                      <w:t>SAG</w:t>
                    </w:r>
                  </w:p>
                </w:txbxContent>
              </v:textbox>
              <w10:wrap type="none"/>
            </v:shape>
            <v:shape style="position:absolute;left:5063;top:5247;width:1580;height:320" type="#_x0000_t202" filled="false" stroked="false">
              <v:textbox inset="0,0,0,0">
                <w:txbxContent>
                  <w:p>
                    <w:pPr>
                      <w:spacing w:line="187" w:lineRule="auto" w:before="0"/>
                      <w:ind w:left="0" w:right="0" w:firstLine="0"/>
                      <w:jc w:val="left"/>
                      <w:rPr>
                        <w:rFonts w:ascii="Calibri"/>
                        <w:sz w:val="20"/>
                      </w:rPr>
                    </w:pPr>
                    <w:r>
                      <w:rPr>
                        <w:rFonts w:ascii="Calibri"/>
                        <w:sz w:val="20"/>
                      </w:rPr>
                      <w:t>SBWC </w:t>
                    </w:r>
                    <w:r>
                      <w:rPr>
                        <w:rFonts w:ascii="Calibri"/>
                        <w:b/>
                        <w:position w:val="-11"/>
                        <w:sz w:val="20"/>
                      </w:rPr>
                      <w:t>sources </w:t>
                    </w:r>
                    <w:r>
                      <w:rPr>
                        <w:rFonts w:ascii="Calibri"/>
                        <w:sz w:val="20"/>
                      </w:rPr>
                      <w:t>SAD</w:t>
                    </w:r>
                  </w:p>
                </w:txbxContent>
              </v:textbox>
              <w10:wrap type="none"/>
            </v:shape>
            <v:shape style="position:absolute;left:3950;top:5247;width:431;height:200" type="#_x0000_t202" filled="false" stroked="false">
              <v:textbox inset="0,0,0,0">
                <w:txbxContent>
                  <w:p>
                    <w:pPr>
                      <w:spacing w:line="200" w:lineRule="exact" w:before="0"/>
                      <w:ind w:left="0" w:right="0" w:firstLine="0"/>
                      <w:jc w:val="left"/>
                      <w:rPr>
                        <w:rFonts w:ascii="Calibri"/>
                        <w:sz w:val="20"/>
                      </w:rPr>
                    </w:pPr>
                    <w:r>
                      <w:rPr>
                        <w:rFonts w:ascii="Calibri"/>
                        <w:sz w:val="20"/>
                      </w:rPr>
                      <w:t>SABZ</w:t>
                    </w:r>
                  </w:p>
                </w:txbxContent>
              </v:textbox>
              <w10:wrap type="none"/>
            </v:shape>
            <v:shape style="position:absolute;left:2837;top:5247;width:344;height:200" type="#_x0000_t202" filled="false" stroked="false">
              <v:textbox inset="0,0,0,0">
                <w:txbxContent>
                  <w:p>
                    <w:pPr>
                      <w:spacing w:line="200" w:lineRule="exact" w:before="0"/>
                      <w:ind w:left="0" w:right="0" w:firstLine="0"/>
                      <w:jc w:val="left"/>
                      <w:rPr>
                        <w:rFonts w:ascii="Calibri"/>
                        <w:sz w:val="20"/>
                      </w:rPr>
                    </w:pPr>
                    <w:r>
                      <w:rPr>
                        <w:rFonts w:ascii="Calibri"/>
                        <w:sz w:val="20"/>
                      </w:rPr>
                      <w:t>SAA</w:t>
                    </w:r>
                  </w:p>
                </w:txbxContent>
              </v:textbox>
              <w10:wrap type="none"/>
            </v:shape>
            <v:shape style="position:absolute;left:1936;top:1721;width:323;height:3418" type="#_x0000_t202" filled="false" stroked="false">
              <v:textbox inset="0,0,0,0">
                <w:txbxContent>
                  <w:p>
                    <w:pPr>
                      <w:spacing w:line="204" w:lineRule="exact" w:before="0"/>
                      <w:ind w:left="0" w:right="0" w:firstLine="0"/>
                      <w:jc w:val="left"/>
                      <w:rPr>
                        <w:rFonts w:ascii="Calibri"/>
                        <w:sz w:val="20"/>
                      </w:rPr>
                    </w:pPr>
                    <w:r>
                      <w:rPr>
                        <w:rFonts w:ascii="Calibri"/>
                        <w:sz w:val="20"/>
                      </w:rPr>
                      <w:t>100</w:t>
                    </w:r>
                  </w:p>
                  <w:p>
                    <w:pPr>
                      <w:spacing w:before="77"/>
                      <w:ind w:left="76" w:right="3" w:firstLine="0"/>
                      <w:jc w:val="center"/>
                      <w:rPr>
                        <w:rFonts w:ascii="Calibri"/>
                        <w:sz w:val="20"/>
                      </w:rPr>
                    </w:pPr>
                    <w:r>
                      <w:rPr>
                        <w:rFonts w:ascii="Calibri"/>
                        <w:sz w:val="20"/>
                      </w:rPr>
                      <w:t>90</w:t>
                    </w:r>
                  </w:p>
                  <w:p>
                    <w:pPr>
                      <w:spacing w:before="78"/>
                      <w:ind w:left="76" w:right="3" w:firstLine="0"/>
                      <w:jc w:val="center"/>
                      <w:rPr>
                        <w:rFonts w:ascii="Calibri"/>
                        <w:sz w:val="20"/>
                      </w:rPr>
                    </w:pPr>
                    <w:r>
                      <w:rPr>
                        <w:rFonts w:ascii="Calibri"/>
                        <w:sz w:val="20"/>
                      </w:rPr>
                      <w:t>80</w:t>
                    </w:r>
                  </w:p>
                  <w:p>
                    <w:pPr>
                      <w:spacing w:before="78"/>
                      <w:ind w:left="76" w:right="3" w:firstLine="0"/>
                      <w:jc w:val="center"/>
                      <w:rPr>
                        <w:rFonts w:ascii="Calibri"/>
                        <w:sz w:val="20"/>
                      </w:rPr>
                    </w:pPr>
                    <w:r>
                      <w:rPr>
                        <w:rFonts w:ascii="Calibri"/>
                        <w:sz w:val="20"/>
                      </w:rPr>
                      <w:t>70</w:t>
                    </w:r>
                  </w:p>
                  <w:p>
                    <w:pPr>
                      <w:spacing w:before="77"/>
                      <w:ind w:left="76" w:right="3" w:firstLine="0"/>
                      <w:jc w:val="center"/>
                      <w:rPr>
                        <w:rFonts w:ascii="Calibri"/>
                        <w:sz w:val="20"/>
                      </w:rPr>
                    </w:pPr>
                    <w:r>
                      <w:rPr>
                        <w:rFonts w:ascii="Calibri"/>
                        <w:sz w:val="20"/>
                      </w:rPr>
                      <w:t>60</w:t>
                    </w:r>
                  </w:p>
                  <w:p>
                    <w:pPr>
                      <w:spacing w:before="78"/>
                      <w:ind w:left="76" w:right="3" w:firstLine="0"/>
                      <w:jc w:val="center"/>
                      <w:rPr>
                        <w:rFonts w:ascii="Calibri"/>
                        <w:sz w:val="20"/>
                      </w:rPr>
                    </w:pPr>
                    <w:r>
                      <w:rPr>
                        <w:rFonts w:ascii="Calibri"/>
                        <w:sz w:val="20"/>
                      </w:rPr>
                      <w:t>50</w:t>
                    </w:r>
                  </w:p>
                  <w:p>
                    <w:pPr>
                      <w:spacing w:before="78"/>
                      <w:ind w:left="76" w:right="3" w:firstLine="0"/>
                      <w:jc w:val="center"/>
                      <w:rPr>
                        <w:rFonts w:ascii="Calibri"/>
                        <w:sz w:val="20"/>
                      </w:rPr>
                    </w:pPr>
                    <w:r>
                      <w:rPr>
                        <w:rFonts w:ascii="Calibri"/>
                        <w:sz w:val="20"/>
                      </w:rPr>
                      <w:t>40</w:t>
                    </w:r>
                  </w:p>
                  <w:p>
                    <w:pPr>
                      <w:spacing w:before="77"/>
                      <w:ind w:left="76" w:right="3" w:firstLine="0"/>
                      <w:jc w:val="center"/>
                      <w:rPr>
                        <w:rFonts w:ascii="Calibri"/>
                        <w:sz w:val="20"/>
                      </w:rPr>
                    </w:pPr>
                    <w:r>
                      <w:rPr>
                        <w:rFonts w:ascii="Calibri"/>
                        <w:sz w:val="20"/>
                      </w:rPr>
                      <w:t>30</w:t>
                    </w:r>
                  </w:p>
                  <w:p>
                    <w:pPr>
                      <w:spacing w:before="78"/>
                      <w:ind w:left="76" w:right="3" w:firstLine="0"/>
                      <w:jc w:val="center"/>
                      <w:rPr>
                        <w:rFonts w:ascii="Calibri"/>
                        <w:sz w:val="20"/>
                      </w:rPr>
                    </w:pPr>
                    <w:r>
                      <w:rPr>
                        <w:rFonts w:ascii="Calibri"/>
                        <w:sz w:val="20"/>
                      </w:rPr>
                      <w:t>20</w:t>
                    </w:r>
                  </w:p>
                  <w:p>
                    <w:pPr>
                      <w:spacing w:before="77"/>
                      <w:ind w:left="76" w:right="3" w:firstLine="0"/>
                      <w:jc w:val="center"/>
                      <w:rPr>
                        <w:rFonts w:ascii="Calibri"/>
                        <w:sz w:val="20"/>
                      </w:rPr>
                    </w:pPr>
                    <w:r>
                      <w:rPr>
                        <w:rFonts w:ascii="Calibri"/>
                        <w:sz w:val="20"/>
                      </w:rPr>
                      <w:t>10</w:t>
                    </w:r>
                  </w:p>
                  <w:p>
                    <w:pPr>
                      <w:spacing w:line="240" w:lineRule="exact" w:before="78"/>
                      <w:ind w:left="181" w:right="0" w:firstLine="0"/>
                      <w:jc w:val="center"/>
                      <w:rPr>
                        <w:rFonts w:ascii="Calibri"/>
                        <w:sz w:val="20"/>
                      </w:rPr>
                    </w:pPr>
                    <w:r>
                      <w:rPr>
                        <w:rFonts w:ascii="Calibri"/>
                        <w:sz w:val="20"/>
                      </w:rPr>
                      <w:t>0</w:t>
                    </w:r>
                  </w:p>
                </w:txbxContent>
              </v:textbox>
              <w10:wrap type="none"/>
            </v:shape>
            <v:shape style="position:absolute;left:6215;top:1472;width:386;height:201" type="#_x0000_t202" filled="false" stroked="false">
              <v:textbox inset="0,0,0,0">
                <w:txbxContent>
                  <w:p>
                    <w:pPr>
                      <w:spacing w:line="200" w:lineRule="exact" w:before="0"/>
                      <w:ind w:left="0" w:right="0" w:firstLine="0"/>
                      <w:jc w:val="left"/>
                      <w:rPr>
                        <w:rFonts w:ascii="Calibri"/>
                        <w:sz w:val="20"/>
                      </w:rPr>
                    </w:pPr>
                    <w:r>
                      <w:rPr>
                        <w:rFonts w:ascii="Calibri"/>
                        <w:sz w:val="20"/>
                      </w:rPr>
                      <w:t>Avril</w:t>
                    </w:r>
                  </w:p>
                </w:txbxContent>
              </v:textbox>
              <w10:wrap type="none"/>
            </v:shape>
            <v:shape style="position:absolute;left:4912;top:1472;width:435;height:201" type="#_x0000_t202" filled="false" stroked="false">
              <v:textbox inset="0,0,0,0">
                <w:txbxContent>
                  <w:p>
                    <w:pPr>
                      <w:spacing w:line="200" w:lineRule="exact" w:before="0"/>
                      <w:ind w:left="0" w:right="0" w:firstLine="0"/>
                      <w:jc w:val="left"/>
                      <w:rPr>
                        <w:rFonts w:ascii="Calibri"/>
                        <w:sz w:val="20"/>
                      </w:rPr>
                    </w:pPr>
                    <w:r>
                      <w:rPr>
                        <w:rFonts w:ascii="Calibri"/>
                        <w:sz w:val="20"/>
                      </w:rPr>
                      <w:t>Mars</w:t>
                    </w:r>
                  </w:p>
                </w:txbxContent>
              </v:textbox>
              <w10:wrap type="none"/>
            </v:shape>
            <v:shape style="position:absolute;left:3412;top:1472;width:585;height:201" type="#_x0000_t202" filled="false" stroked="false">
              <v:textbox inset="0,0,0,0">
                <w:txbxContent>
                  <w:p>
                    <w:pPr>
                      <w:spacing w:line="200" w:lineRule="exact" w:before="0"/>
                      <w:ind w:left="0" w:right="0" w:firstLine="0"/>
                      <w:jc w:val="left"/>
                      <w:rPr>
                        <w:rFonts w:ascii="Calibri" w:hAnsi="Calibri"/>
                        <w:sz w:val="20"/>
                      </w:rPr>
                    </w:pPr>
                    <w:r>
                      <w:rPr>
                        <w:rFonts w:ascii="Calibri" w:hAnsi="Calibri"/>
                        <w:sz w:val="20"/>
                      </w:rPr>
                      <w:t>Février</w:t>
                    </w:r>
                  </w:p>
                </w:txbxContent>
              </v:textbox>
              <w10:wrap type="none"/>
            </v:shape>
            <w10:wrap type="none"/>
          </v:group>
        </w:pict>
      </w:r>
      <w:r>
        <w:rPr/>
        <w:pict>
          <v:shape style="position:absolute;margin-left:82.843636pt;margin-top:113.703186pt;width:12pt;height:113.95pt;mso-position-horizontal-relative:page;mso-position-vertical-relative:paragraph;z-index:6976" type="#_x0000_t202" filled="false" stroked="false">
            <v:textbox inset="0,0,0,0" style="layout-flow:vertical;mso-layout-flow-alt:bottom-to-top">
              <w:txbxContent>
                <w:p>
                  <w:pPr>
                    <w:spacing w:line="224" w:lineRule="exact" w:before="0"/>
                    <w:ind w:left="20" w:right="0" w:firstLine="0"/>
                    <w:jc w:val="left"/>
                    <w:rPr>
                      <w:rFonts w:ascii="Calibri"/>
                      <w:b/>
                      <w:sz w:val="20"/>
                    </w:rPr>
                  </w:pPr>
                  <w:r>
                    <w:rPr>
                      <w:rFonts w:ascii="Calibri"/>
                      <w:b/>
                      <w:sz w:val="20"/>
                    </w:rPr>
                    <w:t>valeurs du chlorures (mg/l)</w:t>
                  </w:r>
                </w:p>
              </w:txbxContent>
            </v:textbox>
            <w10:wrap type="none"/>
          </v:shape>
        </w:pict>
      </w:r>
      <w:r>
        <w:rPr/>
        <w:t>Le maximum de concentration est enregistré au niveau de la source SAD (99.4 mg/l) pendant le mois d’avril et une valeur minimale égale 41.3 mg/l au niveau de SAG durant le mois de février.</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216"/>
        <w:ind w:left="600" w:right="1338"/>
        <w:jc w:val="center"/>
      </w:pPr>
      <w:r>
        <w:rPr>
          <w:b/>
        </w:rPr>
        <w:t>Figure 23: </w:t>
      </w:r>
      <w:r>
        <w:rPr/>
        <w:t>Evolution des chlorures dans les eaux des sources échantillonnées.</w:t>
      </w:r>
    </w:p>
    <w:p>
      <w:pPr>
        <w:spacing w:after="0"/>
        <w:jc w:val="center"/>
        <w:sectPr>
          <w:pgSz w:w="11900" w:h="16840"/>
          <w:pgMar w:header="727" w:footer="1061" w:top="1180" w:bottom="1260" w:left="740" w:right="0"/>
        </w:sectPr>
      </w:pPr>
    </w:p>
    <w:p>
      <w:pPr>
        <w:pStyle w:val="BodyText"/>
        <w:spacing w:before="4"/>
        <w:rPr>
          <w:sz w:val="16"/>
        </w:rPr>
      </w:pPr>
    </w:p>
    <w:p>
      <w:pPr>
        <w:pStyle w:val="Heading4"/>
        <w:numPr>
          <w:ilvl w:val="2"/>
          <w:numId w:val="28"/>
        </w:numPr>
        <w:tabs>
          <w:tab w:pos="1539" w:val="left" w:leader="none"/>
        </w:tabs>
        <w:spacing w:line="240" w:lineRule="auto" w:before="90" w:after="0"/>
        <w:ind w:left="1538" w:right="0" w:hanging="863"/>
        <w:jc w:val="left"/>
      </w:pPr>
      <w:bookmarkStart w:name="_TOC_250008" w:id="73"/>
      <w:r>
        <w:rPr/>
        <w:t>Le sulfate</w:t>
      </w:r>
      <w:r>
        <w:rPr>
          <w:spacing w:val="2"/>
        </w:rPr>
        <w:t> </w:t>
      </w:r>
      <w:bookmarkEnd w:id="73"/>
      <w:r>
        <w:rPr/>
        <w:t>:</w:t>
      </w:r>
    </w:p>
    <w:p>
      <w:pPr>
        <w:pStyle w:val="BodyText"/>
        <w:spacing w:before="9"/>
        <w:rPr>
          <w:b/>
          <w:sz w:val="20"/>
        </w:rPr>
      </w:pPr>
    </w:p>
    <w:p>
      <w:pPr>
        <w:pStyle w:val="BodyText"/>
        <w:spacing w:line="273" w:lineRule="auto" w:before="1"/>
        <w:ind w:left="675" w:right="1416" w:firstLine="707"/>
        <w:jc w:val="both"/>
      </w:pPr>
      <w:r>
        <w:rPr/>
        <w:t>Les résultats des sulfates sont présentés dans la figure (24). L’OMS (2011) indique que la concentration maximale des sulfates est de 250</w:t>
      </w:r>
      <w:r>
        <w:rPr>
          <w:spacing w:val="-2"/>
        </w:rPr>
        <w:t> </w:t>
      </w:r>
      <w:r>
        <w:rPr/>
        <w:t>mg/l.</w:t>
      </w:r>
    </w:p>
    <w:p>
      <w:pPr>
        <w:pStyle w:val="BodyText"/>
        <w:spacing w:line="276" w:lineRule="auto" w:before="202"/>
        <w:ind w:left="675" w:right="1419" w:firstLine="707"/>
        <w:jc w:val="both"/>
      </w:pPr>
      <w:r>
        <w:rPr/>
        <w:pict>
          <v:group style="position:absolute;margin-left:71.850334pt;margin-top:82.879822pt;width:439.75pt;height:217pt;mso-position-horizontal-relative:page;mso-position-vertical-relative:paragraph;z-index:7312" coordorigin="1437,1658" coordsize="8795,4340">
            <v:shape style="position:absolute;left:2683;top:1899;width:6088;height:3015" type="#_x0000_t75" stroked="false">
              <v:imagedata r:id="rId133" o:title=""/>
            </v:shape>
            <v:shape style="position:absolute;left:2659;top:2087;width:5874;height:2853" coordorigin="2659,2088" coordsize="5874,2853" path="m2719,4882l2657,4882m2719,4486l2657,4486m2719,4086l2657,4086m2719,3687l2657,3687m2719,3291l2657,3291m2719,2891l2657,2891m2719,2495l2657,2495m2719,2096l2657,2096m2717,4882l2717,4947m3689,4882l3689,4947m4656,4882l4656,4947m5623,4882l5623,4947m6591,4882l6591,4947m7558,4882l7558,4947m8527,4882l8527,4947e" filled="false" stroked="true" strokeweight=".999328pt" strokecolor="#858585">
              <v:path arrowok="t"/>
              <v:stroke dashstyle="solid"/>
            </v:shape>
            <v:rect style="position:absolute;left:4087;top:2040;width:110;height:110" filled="true" fillcolor="#4f81bc" stroked="false">
              <v:fill type="solid"/>
            </v:rect>
            <v:rect style="position:absolute;left:6006;top:2040;width:110;height:110" filled="true" fillcolor="#c0504d" stroked="false">
              <v:fill type="solid"/>
            </v:rect>
            <v:rect style="position:absolute;left:7727;top:2040;width:110;height:110" filled="true" fillcolor="#9bba58" stroked="false">
              <v:fill type="solid"/>
            </v:rect>
            <v:rect style="position:absolute;left:1446;top:1676;width:8770;height:4318" filled="false" stroked="true" strokeweight=".999328pt" strokecolor="#858585">
              <v:stroke dashstyle="solid"/>
            </v:rect>
            <v:shape style="position:absolute;left:2229;top:2017;width:320;height:200" type="#_x0000_t202" filled="false" stroked="false">
              <v:textbox inset="0,0,0,0">
                <w:txbxContent>
                  <w:p>
                    <w:pPr>
                      <w:spacing w:line="200" w:lineRule="exact" w:before="0"/>
                      <w:ind w:left="0" w:right="0" w:firstLine="0"/>
                      <w:jc w:val="left"/>
                      <w:rPr>
                        <w:rFonts w:ascii="Calibri"/>
                        <w:sz w:val="20"/>
                      </w:rPr>
                    </w:pPr>
                    <w:r>
                      <w:rPr>
                        <w:rFonts w:ascii="Calibri"/>
                        <w:sz w:val="20"/>
                      </w:rPr>
                      <w:t>700</w:t>
                    </w:r>
                  </w:p>
                </w:txbxContent>
              </v:textbox>
              <w10:wrap type="none"/>
            </v:shape>
            <v:shape style="position:absolute;left:4286;top:2005;width:585;height:200" type="#_x0000_t202" filled="false" stroked="false">
              <v:textbox inset="0,0,0,0">
                <w:txbxContent>
                  <w:p>
                    <w:pPr>
                      <w:spacing w:line="200" w:lineRule="exact" w:before="0"/>
                      <w:ind w:left="0" w:right="0" w:firstLine="0"/>
                      <w:jc w:val="left"/>
                      <w:rPr>
                        <w:rFonts w:ascii="Calibri" w:hAnsi="Calibri"/>
                        <w:sz w:val="20"/>
                      </w:rPr>
                    </w:pPr>
                    <w:r>
                      <w:rPr>
                        <w:rFonts w:ascii="Calibri" w:hAnsi="Calibri"/>
                        <w:sz w:val="20"/>
                      </w:rPr>
                      <w:t>Février</w:t>
                    </w:r>
                  </w:p>
                </w:txbxContent>
              </v:textbox>
              <w10:wrap type="none"/>
            </v:shape>
            <v:shape style="position:absolute;left:6205;top:2005;width:434;height:200" type="#_x0000_t202" filled="false" stroked="false">
              <v:textbox inset="0,0,0,0">
                <w:txbxContent>
                  <w:p>
                    <w:pPr>
                      <w:spacing w:line="200" w:lineRule="exact" w:before="0"/>
                      <w:ind w:left="0" w:right="0" w:firstLine="0"/>
                      <w:jc w:val="left"/>
                      <w:rPr>
                        <w:rFonts w:ascii="Calibri"/>
                        <w:sz w:val="20"/>
                      </w:rPr>
                    </w:pPr>
                    <w:r>
                      <w:rPr>
                        <w:rFonts w:ascii="Calibri"/>
                        <w:sz w:val="20"/>
                      </w:rPr>
                      <w:t>Mars</w:t>
                    </w:r>
                  </w:p>
                </w:txbxContent>
              </v:textbox>
              <w10:wrap type="none"/>
            </v:shape>
            <v:shape style="position:absolute;left:7927;top:2005;width:386;height:200" type="#_x0000_t202" filled="false" stroked="false">
              <v:textbox inset="0,0,0,0">
                <w:txbxContent>
                  <w:p>
                    <w:pPr>
                      <w:spacing w:line="200" w:lineRule="exact" w:before="0"/>
                      <w:ind w:left="0" w:right="0" w:firstLine="0"/>
                      <w:jc w:val="left"/>
                      <w:rPr>
                        <w:rFonts w:ascii="Calibri"/>
                        <w:sz w:val="20"/>
                      </w:rPr>
                    </w:pPr>
                    <w:r>
                      <w:rPr>
                        <w:rFonts w:ascii="Calibri"/>
                        <w:sz w:val="20"/>
                      </w:rPr>
                      <w:t>Avril</w:t>
                    </w:r>
                  </w:p>
                </w:txbxContent>
              </v:textbox>
              <w10:wrap type="none"/>
            </v:shape>
            <v:shape style="position:absolute;left:2229;top:2415;width:323;height:2589" type="#_x0000_t202" filled="false" stroked="false">
              <v:textbox inset="0,0,0,0">
                <w:txbxContent>
                  <w:p>
                    <w:pPr>
                      <w:spacing w:line="204" w:lineRule="exact" w:before="0"/>
                      <w:ind w:left="0" w:right="0" w:firstLine="0"/>
                      <w:jc w:val="left"/>
                      <w:rPr>
                        <w:rFonts w:ascii="Calibri"/>
                        <w:sz w:val="20"/>
                      </w:rPr>
                    </w:pPr>
                    <w:r>
                      <w:rPr>
                        <w:rFonts w:ascii="Calibri"/>
                        <w:spacing w:val="-2"/>
                        <w:sz w:val="20"/>
                      </w:rPr>
                      <w:t>600</w:t>
                    </w:r>
                  </w:p>
                  <w:p>
                    <w:pPr>
                      <w:spacing w:before="153"/>
                      <w:ind w:left="0" w:right="0" w:firstLine="0"/>
                      <w:jc w:val="left"/>
                      <w:rPr>
                        <w:rFonts w:ascii="Calibri"/>
                        <w:sz w:val="20"/>
                      </w:rPr>
                    </w:pPr>
                    <w:r>
                      <w:rPr>
                        <w:rFonts w:ascii="Calibri"/>
                        <w:spacing w:val="-2"/>
                        <w:sz w:val="20"/>
                      </w:rPr>
                      <w:t>500</w:t>
                    </w:r>
                  </w:p>
                  <w:p>
                    <w:pPr>
                      <w:spacing w:before="154"/>
                      <w:ind w:left="0" w:right="0" w:firstLine="0"/>
                      <w:jc w:val="left"/>
                      <w:rPr>
                        <w:rFonts w:ascii="Calibri"/>
                        <w:sz w:val="20"/>
                      </w:rPr>
                    </w:pPr>
                    <w:r>
                      <w:rPr>
                        <w:rFonts w:ascii="Calibri"/>
                        <w:spacing w:val="-2"/>
                        <w:sz w:val="20"/>
                      </w:rPr>
                      <w:t>400</w:t>
                    </w:r>
                  </w:p>
                  <w:p>
                    <w:pPr>
                      <w:spacing w:before="154"/>
                      <w:ind w:left="0" w:right="0" w:firstLine="0"/>
                      <w:jc w:val="left"/>
                      <w:rPr>
                        <w:rFonts w:ascii="Calibri"/>
                        <w:sz w:val="20"/>
                      </w:rPr>
                    </w:pPr>
                    <w:r>
                      <w:rPr>
                        <w:rFonts w:ascii="Calibri"/>
                        <w:spacing w:val="-2"/>
                        <w:sz w:val="20"/>
                      </w:rPr>
                      <w:t>300</w:t>
                    </w:r>
                  </w:p>
                  <w:p>
                    <w:pPr>
                      <w:spacing w:before="155"/>
                      <w:ind w:left="0" w:right="0" w:firstLine="0"/>
                      <w:jc w:val="left"/>
                      <w:rPr>
                        <w:rFonts w:ascii="Calibri"/>
                        <w:sz w:val="20"/>
                      </w:rPr>
                    </w:pPr>
                    <w:r>
                      <w:rPr>
                        <w:rFonts w:ascii="Calibri"/>
                        <w:spacing w:val="-2"/>
                        <w:sz w:val="20"/>
                      </w:rPr>
                      <w:t>200</w:t>
                    </w:r>
                  </w:p>
                  <w:p>
                    <w:pPr>
                      <w:spacing w:before="154"/>
                      <w:ind w:left="0" w:right="0" w:firstLine="0"/>
                      <w:jc w:val="left"/>
                      <w:rPr>
                        <w:rFonts w:ascii="Calibri"/>
                        <w:sz w:val="20"/>
                      </w:rPr>
                    </w:pPr>
                    <w:r>
                      <w:rPr>
                        <w:rFonts w:ascii="Calibri"/>
                        <w:spacing w:val="-2"/>
                        <w:sz w:val="20"/>
                      </w:rPr>
                      <w:t>100</w:t>
                    </w:r>
                  </w:p>
                  <w:p>
                    <w:pPr>
                      <w:spacing w:line="240" w:lineRule="exact" w:before="153"/>
                      <w:ind w:left="201" w:right="0" w:firstLine="0"/>
                      <w:jc w:val="left"/>
                      <w:rPr>
                        <w:rFonts w:ascii="Calibri"/>
                        <w:sz w:val="20"/>
                      </w:rPr>
                    </w:pPr>
                    <w:r>
                      <w:rPr>
                        <w:rFonts w:ascii="Calibri"/>
                        <w:sz w:val="20"/>
                      </w:rPr>
                      <w:t>0</w:t>
                    </w:r>
                  </w:p>
                </w:txbxContent>
              </v:textbox>
              <w10:wrap type="none"/>
            </v:shape>
            <v:shape style="position:absolute;left:3040;top:5112;width:344;height:200" type="#_x0000_t202" filled="false" stroked="false">
              <v:textbox inset="0,0,0,0">
                <w:txbxContent>
                  <w:p>
                    <w:pPr>
                      <w:spacing w:line="200" w:lineRule="exact" w:before="0"/>
                      <w:ind w:left="0" w:right="0" w:firstLine="0"/>
                      <w:jc w:val="left"/>
                      <w:rPr>
                        <w:rFonts w:ascii="Calibri"/>
                        <w:sz w:val="20"/>
                      </w:rPr>
                    </w:pPr>
                    <w:r>
                      <w:rPr>
                        <w:rFonts w:ascii="Calibri"/>
                        <w:sz w:val="20"/>
                      </w:rPr>
                      <w:t>SAA</w:t>
                    </w:r>
                  </w:p>
                </w:txbxContent>
              </v:textbox>
              <w10:wrap type="none"/>
            </v:shape>
            <v:shape style="position:absolute;left:3969;top:5112;width:430;height:200" type="#_x0000_t202" filled="false" stroked="false">
              <v:textbox inset="0,0,0,0">
                <w:txbxContent>
                  <w:p>
                    <w:pPr>
                      <w:spacing w:line="200" w:lineRule="exact" w:before="0"/>
                      <w:ind w:left="0" w:right="0" w:firstLine="0"/>
                      <w:jc w:val="left"/>
                      <w:rPr>
                        <w:rFonts w:ascii="Calibri"/>
                        <w:sz w:val="20"/>
                      </w:rPr>
                    </w:pPr>
                    <w:r>
                      <w:rPr>
                        <w:rFonts w:ascii="Calibri"/>
                        <w:sz w:val="20"/>
                      </w:rPr>
                      <w:t>SABZ</w:t>
                    </w:r>
                  </w:p>
                </w:txbxContent>
              </v:textbox>
              <w10:wrap type="none"/>
            </v:shape>
            <v:shape style="position:absolute;left:4897;top:5112;width:503;height:200" type="#_x0000_t202" filled="false" stroked="false">
              <v:textbox inset="0,0,0,0">
                <w:txbxContent>
                  <w:p>
                    <w:pPr>
                      <w:spacing w:line="200" w:lineRule="exact" w:before="0"/>
                      <w:ind w:left="0" w:right="0" w:firstLine="0"/>
                      <w:jc w:val="left"/>
                      <w:rPr>
                        <w:rFonts w:ascii="Calibri"/>
                        <w:sz w:val="20"/>
                      </w:rPr>
                    </w:pPr>
                    <w:r>
                      <w:rPr>
                        <w:rFonts w:ascii="Calibri"/>
                        <w:sz w:val="20"/>
                      </w:rPr>
                      <w:t>SBWC</w:t>
                    </w:r>
                  </w:p>
                </w:txbxContent>
              </v:textbox>
              <w10:wrap type="none"/>
            </v:shape>
            <v:shape style="position:absolute;left:5942;top:5112;width:351;height:200" type="#_x0000_t202" filled="false" stroked="false">
              <v:textbox inset="0,0,0,0">
                <w:txbxContent>
                  <w:p>
                    <w:pPr>
                      <w:spacing w:line="200" w:lineRule="exact" w:before="0"/>
                      <w:ind w:left="0" w:right="0" w:firstLine="0"/>
                      <w:jc w:val="left"/>
                      <w:rPr>
                        <w:rFonts w:ascii="Calibri"/>
                        <w:sz w:val="20"/>
                      </w:rPr>
                    </w:pPr>
                    <w:r>
                      <w:rPr>
                        <w:rFonts w:ascii="Calibri"/>
                        <w:sz w:val="20"/>
                      </w:rPr>
                      <w:t>SAD</w:t>
                    </w:r>
                  </w:p>
                </w:txbxContent>
              </v:textbox>
              <w10:wrap type="none"/>
            </v:shape>
            <v:shape style="position:absolute;left:6910;top:5112;width:354;height:200" type="#_x0000_t202" filled="false" stroked="false">
              <v:textbox inset="0,0,0,0">
                <w:txbxContent>
                  <w:p>
                    <w:pPr>
                      <w:spacing w:line="200" w:lineRule="exact" w:before="0"/>
                      <w:ind w:left="0" w:right="0" w:firstLine="0"/>
                      <w:jc w:val="left"/>
                      <w:rPr>
                        <w:rFonts w:ascii="Calibri"/>
                        <w:sz w:val="20"/>
                      </w:rPr>
                    </w:pPr>
                    <w:r>
                      <w:rPr>
                        <w:rFonts w:ascii="Calibri"/>
                        <w:sz w:val="20"/>
                      </w:rPr>
                      <w:t>SAG</w:t>
                    </w:r>
                  </w:p>
                </w:txbxContent>
              </v:textbox>
              <w10:wrap type="none"/>
            </v:shape>
            <v:shape style="position:absolute;left:7882;top:5112;width:346;height:200" type="#_x0000_t202" filled="false" stroked="false">
              <v:textbox inset="0,0,0,0">
                <w:txbxContent>
                  <w:p>
                    <w:pPr>
                      <w:spacing w:line="200" w:lineRule="exact" w:before="0"/>
                      <w:ind w:left="0" w:right="0" w:firstLine="0"/>
                      <w:jc w:val="left"/>
                      <w:rPr>
                        <w:rFonts w:ascii="Calibri"/>
                        <w:sz w:val="20"/>
                      </w:rPr>
                    </w:pPr>
                    <w:r>
                      <w:rPr>
                        <w:rFonts w:ascii="Calibri"/>
                        <w:sz w:val="20"/>
                      </w:rPr>
                      <w:t>SBG</w:t>
                    </w:r>
                  </w:p>
                </w:txbxContent>
              </v:textbox>
              <w10:wrap type="none"/>
            </v:shape>
            <v:shape style="position:absolute;left:5299;top:5511;width:667;height:200" type="#_x0000_t202" filled="false" stroked="false">
              <v:textbox inset="0,0,0,0">
                <w:txbxContent>
                  <w:p>
                    <w:pPr>
                      <w:spacing w:line="200" w:lineRule="exact" w:before="0"/>
                      <w:ind w:left="0" w:right="0" w:firstLine="0"/>
                      <w:jc w:val="left"/>
                      <w:rPr>
                        <w:rFonts w:ascii="Calibri"/>
                        <w:b/>
                        <w:sz w:val="20"/>
                      </w:rPr>
                    </w:pPr>
                    <w:r>
                      <w:rPr>
                        <w:rFonts w:ascii="Calibri"/>
                        <w:b/>
                        <w:sz w:val="20"/>
                      </w:rPr>
                      <w:t>Sources</w:t>
                    </w:r>
                  </w:p>
                </w:txbxContent>
              </v:textbox>
              <w10:wrap type="none"/>
            </v:shape>
            <w10:wrap type="none"/>
          </v:group>
        </w:pict>
      </w:r>
      <w:r>
        <w:rPr/>
        <w:pict>
          <v:shape style="position:absolute;margin-left:92.367233pt;margin-top:125.98835pt;width:12pt;height:97.3pt;mso-position-horizontal-relative:page;mso-position-vertical-relative:paragraph;z-index:7336" type="#_x0000_t202" filled="false" stroked="false">
            <v:textbox inset="0,0,0,0" style="layout-flow:vertical;mso-layout-flow-alt:bottom-to-top">
              <w:txbxContent>
                <w:p>
                  <w:pPr>
                    <w:spacing w:line="224" w:lineRule="exact" w:before="0"/>
                    <w:ind w:left="20" w:right="0" w:firstLine="0"/>
                    <w:jc w:val="left"/>
                    <w:rPr>
                      <w:rFonts w:ascii="Calibri"/>
                      <w:b/>
                      <w:sz w:val="20"/>
                    </w:rPr>
                  </w:pPr>
                  <w:r>
                    <w:rPr>
                      <w:rFonts w:ascii="Calibri"/>
                      <w:b/>
                      <w:sz w:val="20"/>
                    </w:rPr>
                    <w:t>valeurs du sulfate mg/l</w:t>
                  </w:r>
                </w:p>
              </w:txbxContent>
            </v:textbox>
            <w10:wrap type="none"/>
          </v:shape>
        </w:pict>
      </w:r>
      <w:r>
        <w:rPr/>
        <w:t>Les valeurs qui concernent les sources SAA, SABZ, SBWC sont inférieures à la norme avec la valeur minimale enregistrée au niveau de </w:t>
      </w:r>
      <w:r>
        <w:rPr>
          <w:spacing w:val="-3"/>
        </w:rPr>
        <w:t>SBWC </w:t>
      </w:r>
      <w:r>
        <w:rPr/>
        <w:t>durant le mois de février (25 mg/l) par contre les dernières trois sources (SAD, SAG, SBG) ont des valeurs supérieures à la norme avec une valeur maximale de 605 mg/l au niveau de SBG durant le mois</w:t>
      </w:r>
      <w:r>
        <w:rPr>
          <w:spacing w:val="-21"/>
        </w:rPr>
        <w:t> </w:t>
      </w:r>
      <w:r>
        <w:rPr/>
        <w:t>d’avril.</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0"/>
        <w:rPr>
          <w:sz w:val="23"/>
        </w:rPr>
      </w:pPr>
    </w:p>
    <w:p>
      <w:pPr>
        <w:pStyle w:val="BodyText"/>
        <w:spacing w:before="1"/>
        <w:ind w:left="1187"/>
      </w:pPr>
      <w:r>
        <w:rPr>
          <w:b/>
        </w:rPr>
        <w:t>Figure 24: </w:t>
      </w:r>
      <w:r>
        <w:rPr/>
        <w:t>Variation mensuelle des sulfates dans l’eau des sources échantillonnées.</w:t>
      </w:r>
    </w:p>
    <w:p>
      <w:pPr>
        <w:pStyle w:val="BodyText"/>
        <w:rPr>
          <w:sz w:val="26"/>
        </w:rPr>
      </w:pPr>
    </w:p>
    <w:p>
      <w:pPr>
        <w:pStyle w:val="BodyText"/>
        <w:rPr>
          <w:sz w:val="26"/>
        </w:rPr>
      </w:pPr>
    </w:p>
    <w:p>
      <w:pPr>
        <w:pStyle w:val="Heading4"/>
        <w:numPr>
          <w:ilvl w:val="2"/>
          <w:numId w:val="28"/>
        </w:numPr>
        <w:tabs>
          <w:tab w:pos="1539" w:val="left" w:leader="none"/>
        </w:tabs>
        <w:spacing w:line="240" w:lineRule="auto" w:before="165" w:after="0"/>
        <w:ind w:left="1538" w:right="0" w:hanging="863"/>
        <w:jc w:val="left"/>
      </w:pPr>
      <w:bookmarkStart w:name="_TOC_250007" w:id="74"/>
      <w:r>
        <w:rPr/>
        <w:t>Le fer</w:t>
      </w:r>
      <w:r>
        <w:rPr>
          <w:spacing w:val="3"/>
        </w:rPr>
        <w:t> </w:t>
      </w:r>
      <w:bookmarkEnd w:id="74"/>
      <w:r>
        <w:rPr/>
        <w:t>:</w:t>
      </w:r>
    </w:p>
    <w:p>
      <w:pPr>
        <w:pStyle w:val="BodyText"/>
        <w:spacing w:before="6"/>
        <w:rPr>
          <w:b/>
          <w:sz w:val="20"/>
        </w:rPr>
      </w:pPr>
    </w:p>
    <w:p>
      <w:pPr>
        <w:pStyle w:val="BodyText"/>
        <w:spacing w:line="278" w:lineRule="auto"/>
        <w:ind w:left="675" w:right="1417" w:firstLine="423"/>
        <w:jc w:val="both"/>
      </w:pPr>
      <w:r>
        <w:rPr/>
        <w:t>La figure suivante représente les valeurs de la concentration du fer dans l’eau de sources durant la période d’analyse.</w:t>
      </w:r>
    </w:p>
    <w:p>
      <w:pPr>
        <w:pStyle w:val="BodyText"/>
        <w:spacing w:line="276" w:lineRule="auto" w:before="195"/>
        <w:ind w:left="675" w:right="1411" w:firstLine="419"/>
        <w:jc w:val="both"/>
      </w:pPr>
      <w:r>
        <w:rPr/>
        <w:t>Nous avons enregistré une valeur nulle au niveau de SAA, SABZ, SBWC, SBG durant le mois de février et au niveau de SBG pendant le mois </w:t>
      </w:r>
      <w:r>
        <w:rPr>
          <w:spacing w:val="-3"/>
        </w:rPr>
        <w:t>de </w:t>
      </w:r>
      <w:r>
        <w:rPr/>
        <w:t>mars. La concentration minimale est enregistrée au niveau de SBG durant le mois d’avril (0.001 mg/l) et une valeur maximale égale à 2.003 mg/l. Cette dernière est dépassé les normes recommandées par l’OMS (2011) (0.3</w:t>
      </w:r>
      <w:r>
        <w:rPr>
          <w:spacing w:val="-2"/>
        </w:rPr>
        <w:t> </w:t>
      </w:r>
      <w:r>
        <w:rPr/>
        <w:t>mg/l).</w:t>
      </w:r>
    </w:p>
    <w:p>
      <w:pPr>
        <w:pStyle w:val="BodyText"/>
        <w:spacing w:before="201"/>
        <w:ind w:left="675"/>
      </w:pPr>
      <w:r>
        <w:rPr/>
        <w:t>Cette augmentation peut être liée à la nature de site de prélèvement (le sol riche en fer).</w:t>
      </w:r>
    </w:p>
    <w:p>
      <w:pPr>
        <w:spacing w:after="0"/>
        <w:sectPr>
          <w:pgSz w:w="11900" w:h="16840"/>
          <w:pgMar w:header="727" w:footer="1061" w:top="1180" w:bottom="1260" w:left="74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pStyle w:val="BodyText"/>
        <w:ind w:left="1394"/>
      </w:pPr>
      <w:r>
        <w:rPr/>
        <w:pict>
          <v:group style="position:absolute;margin-left:71.850334pt;margin-top:-228.832291pt;width:418.75pt;height:217pt;mso-position-horizontal-relative:page;mso-position-vertical-relative:paragraph;z-index:7648" coordorigin="1437,-4577" coordsize="8375,4340">
            <v:shape style="position:absolute;left:2280;top:-4334;width:7167;height:3015" type="#_x0000_t75" stroked="false">
              <v:imagedata r:id="rId134" o:title=""/>
            </v:shape>
            <v:shape style="position:absolute;left:2259;top:-4123;width:6915;height:2830" coordorigin="2259,-4123" coordsize="6915,2830" path="m2322,-1350l2257,-1350m2322,-1902l2257,-1902m2322,-2454l2257,-2454m2322,-3005l2257,-3005m2322,-3557l2257,-3557m2322,-4113l2257,-4113m2321,-1350l2321,-1285m3461,-1350l3461,-1285m4604,-1350l4604,-1285m5743,-1350l5743,-1285m6886,-1350l6886,-1285m8026,-1350l8026,-1285m9168,-1350l9168,-1285e" filled="false" stroked="true" strokeweight=".999328pt" strokecolor="#858585">
              <v:path arrowok="t"/>
              <v:stroke dashstyle="solid"/>
            </v:shape>
            <v:rect style="position:absolute;left:3625;top:-4172;width:110;height:110" filled="true" fillcolor="#4f81bc" stroked="false">
              <v:fill type="solid"/>
            </v:rect>
            <v:rect style="position:absolute;left:5270;top:-4172;width:110;height:110" filled="true" fillcolor="#c0504d" stroked="false">
              <v:fill type="solid"/>
            </v:rect>
            <v:rect style="position:absolute;left:6718;top:-4172;width:110;height:110" filled="true" fillcolor="#9bba58" stroked="false">
              <v:fill type="solid"/>
            </v:rect>
            <v:rect style="position:absolute;left:1446;top:-4557;width:8350;height:4318" filled="false" stroked="true" strokeweight=".999328pt" strokecolor="#858585">
              <v:stroke dashstyle="solid"/>
            </v:rect>
            <v:shape style="position:absolute;left:5420;top:-727;width:667;height:200" type="#_x0000_t202" filled="false" stroked="false">
              <v:textbox inset="0,0,0,0">
                <w:txbxContent>
                  <w:p>
                    <w:pPr>
                      <w:spacing w:line="200" w:lineRule="exact" w:before="0"/>
                      <w:ind w:left="0" w:right="0" w:firstLine="0"/>
                      <w:jc w:val="left"/>
                      <w:rPr>
                        <w:rFonts w:ascii="Calibri"/>
                        <w:b/>
                        <w:sz w:val="20"/>
                      </w:rPr>
                    </w:pPr>
                    <w:r>
                      <w:rPr>
                        <w:rFonts w:ascii="Calibri"/>
                        <w:b/>
                        <w:sz w:val="20"/>
                      </w:rPr>
                      <w:t>Sources</w:t>
                    </w:r>
                  </w:p>
                </w:txbxContent>
              </v:textbox>
              <w10:wrap type="none"/>
            </v:shape>
            <v:shape style="position:absolute;left:8434;top:-1121;width:346;height:200" type="#_x0000_t202" filled="false" stroked="false">
              <v:textbox inset="0,0,0,0">
                <w:txbxContent>
                  <w:p>
                    <w:pPr>
                      <w:spacing w:line="200" w:lineRule="exact" w:before="0"/>
                      <w:ind w:left="0" w:right="0" w:firstLine="0"/>
                      <w:jc w:val="left"/>
                      <w:rPr>
                        <w:rFonts w:ascii="Calibri"/>
                        <w:sz w:val="20"/>
                      </w:rPr>
                    </w:pPr>
                    <w:r>
                      <w:rPr>
                        <w:rFonts w:ascii="Calibri"/>
                        <w:sz w:val="20"/>
                      </w:rPr>
                      <w:t>SBG</w:t>
                    </w:r>
                  </w:p>
                </w:txbxContent>
              </v:textbox>
              <w10:wrap type="none"/>
            </v:shape>
            <v:shape style="position:absolute;left:7289;top:-1121;width:354;height:200" type="#_x0000_t202" filled="false" stroked="false">
              <v:textbox inset="0,0,0,0">
                <w:txbxContent>
                  <w:p>
                    <w:pPr>
                      <w:spacing w:line="200" w:lineRule="exact" w:before="0"/>
                      <w:ind w:left="0" w:right="0" w:firstLine="0"/>
                      <w:jc w:val="left"/>
                      <w:rPr>
                        <w:rFonts w:ascii="Calibri"/>
                        <w:sz w:val="20"/>
                      </w:rPr>
                    </w:pPr>
                    <w:r>
                      <w:rPr>
                        <w:rFonts w:ascii="Calibri"/>
                        <w:sz w:val="20"/>
                      </w:rPr>
                      <w:t>SAG</w:t>
                    </w:r>
                  </w:p>
                </w:txbxContent>
              </v:textbox>
              <w10:wrap type="none"/>
            </v:shape>
            <v:shape style="position:absolute;left:6151;top:-1121;width:352;height:200" type="#_x0000_t202" filled="false" stroked="false">
              <v:textbox inset="0,0,0,0">
                <w:txbxContent>
                  <w:p>
                    <w:pPr>
                      <w:spacing w:line="200" w:lineRule="exact" w:before="0"/>
                      <w:ind w:left="0" w:right="0" w:firstLine="0"/>
                      <w:jc w:val="left"/>
                      <w:rPr>
                        <w:rFonts w:ascii="Calibri"/>
                        <w:sz w:val="20"/>
                      </w:rPr>
                    </w:pPr>
                    <w:r>
                      <w:rPr>
                        <w:rFonts w:ascii="Calibri"/>
                        <w:sz w:val="20"/>
                      </w:rPr>
                      <w:t>SAD</w:t>
                    </w:r>
                  </w:p>
                </w:txbxContent>
              </v:textbox>
              <w10:wrap type="none"/>
            </v:shape>
            <v:shape style="position:absolute;left:4934;top:-1121;width:503;height:200" type="#_x0000_t202" filled="false" stroked="false">
              <v:textbox inset="0,0,0,0">
                <w:txbxContent>
                  <w:p>
                    <w:pPr>
                      <w:spacing w:line="200" w:lineRule="exact" w:before="0"/>
                      <w:ind w:left="0" w:right="0" w:firstLine="0"/>
                      <w:jc w:val="left"/>
                      <w:rPr>
                        <w:rFonts w:ascii="Calibri"/>
                        <w:sz w:val="20"/>
                      </w:rPr>
                    </w:pPr>
                    <w:r>
                      <w:rPr>
                        <w:rFonts w:ascii="Calibri"/>
                        <w:sz w:val="20"/>
                      </w:rPr>
                      <w:t>SBWC</w:t>
                    </w:r>
                  </w:p>
                </w:txbxContent>
              </v:textbox>
              <w10:wrap type="none"/>
            </v:shape>
            <v:shape style="position:absolute;left:3829;top:-1121;width:430;height:200" type="#_x0000_t202" filled="false" stroked="false">
              <v:textbox inset="0,0,0,0">
                <w:txbxContent>
                  <w:p>
                    <w:pPr>
                      <w:spacing w:line="200" w:lineRule="exact" w:before="0"/>
                      <w:ind w:left="0" w:right="0" w:firstLine="0"/>
                      <w:jc w:val="left"/>
                      <w:rPr>
                        <w:rFonts w:ascii="Calibri"/>
                        <w:sz w:val="20"/>
                      </w:rPr>
                    </w:pPr>
                    <w:r>
                      <w:rPr>
                        <w:rFonts w:ascii="Calibri"/>
                        <w:sz w:val="20"/>
                      </w:rPr>
                      <w:t>SABZ</w:t>
                    </w:r>
                  </w:p>
                </w:txbxContent>
              </v:textbox>
              <w10:wrap type="none"/>
            </v:shape>
            <v:shape style="position:absolute;left:2731;top:-1121;width:344;height:200" type="#_x0000_t202" filled="false" stroked="false">
              <v:textbox inset="0,0,0,0">
                <w:txbxContent>
                  <w:p>
                    <w:pPr>
                      <w:spacing w:line="200" w:lineRule="exact" w:before="0"/>
                      <w:ind w:left="0" w:right="0" w:firstLine="0"/>
                      <w:jc w:val="left"/>
                      <w:rPr>
                        <w:rFonts w:ascii="Calibri"/>
                        <w:sz w:val="20"/>
                      </w:rPr>
                    </w:pPr>
                    <w:r>
                      <w:rPr>
                        <w:rFonts w:ascii="Calibri"/>
                        <w:sz w:val="20"/>
                      </w:rPr>
                      <w:t>SAA</w:t>
                    </w:r>
                  </w:p>
                </w:txbxContent>
              </v:textbox>
              <w10:wrap type="none"/>
            </v:shape>
            <v:shape style="position:absolute;left:1884;top:-3639;width:273;height:2410" type="#_x0000_t202" filled="false" stroked="false">
              <v:textbox inset="0,0,0,0">
                <w:txbxContent>
                  <w:p>
                    <w:pPr>
                      <w:spacing w:line="204" w:lineRule="exact" w:before="0"/>
                      <w:ind w:left="131" w:right="0" w:firstLine="0"/>
                      <w:jc w:val="center"/>
                      <w:rPr>
                        <w:rFonts w:ascii="Calibri"/>
                        <w:sz w:val="20"/>
                      </w:rPr>
                    </w:pPr>
                    <w:r>
                      <w:rPr>
                        <w:rFonts w:ascii="Calibri"/>
                        <w:sz w:val="20"/>
                      </w:rPr>
                      <w:t>2</w:t>
                    </w:r>
                  </w:p>
                  <w:p>
                    <w:pPr>
                      <w:spacing w:line="240" w:lineRule="auto" w:before="8"/>
                      <w:rPr>
                        <w:sz w:val="26"/>
                      </w:rPr>
                    </w:pPr>
                  </w:p>
                  <w:p>
                    <w:pPr>
                      <w:spacing w:before="1"/>
                      <w:ind w:left="-1" w:right="21" w:firstLine="0"/>
                      <w:jc w:val="center"/>
                      <w:rPr>
                        <w:rFonts w:ascii="Calibri"/>
                        <w:sz w:val="20"/>
                      </w:rPr>
                    </w:pPr>
                    <w:r>
                      <w:rPr>
                        <w:rFonts w:ascii="Calibri"/>
                        <w:spacing w:val="-1"/>
                        <w:sz w:val="20"/>
                      </w:rPr>
                      <w:t>1,5</w:t>
                    </w:r>
                  </w:p>
                  <w:p>
                    <w:pPr>
                      <w:spacing w:line="240" w:lineRule="auto" w:before="9"/>
                      <w:rPr>
                        <w:sz w:val="26"/>
                      </w:rPr>
                    </w:pPr>
                  </w:p>
                  <w:p>
                    <w:pPr>
                      <w:spacing w:before="0"/>
                      <w:ind w:left="131" w:right="0" w:firstLine="0"/>
                      <w:jc w:val="center"/>
                      <w:rPr>
                        <w:rFonts w:ascii="Calibri"/>
                        <w:sz w:val="20"/>
                      </w:rPr>
                    </w:pPr>
                    <w:r>
                      <w:rPr>
                        <w:rFonts w:ascii="Calibri"/>
                        <w:sz w:val="20"/>
                      </w:rPr>
                      <w:t>1</w:t>
                    </w:r>
                  </w:p>
                  <w:p>
                    <w:pPr>
                      <w:spacing w:line="240" w:lineRule="auto" w:before="9"/>
                      <w:rPr>
                        <w:sz w:val="26"/>
                      </w:rPr>
                    </w:pPr>
                  </w:p>
                  <w:p>
                    <w:pPr>
                      <w:spacing w:before="1"/>
                      <w:ind w:left="0" w:right="21" w:firstLine="0"/>
                      <w:jc w:val="center"/>
                      <w:rPr>
                        <w:rFonts w:ascii="Calibri"/>
                        <w:sz w:val="20"/>
                      </w:rPr>
                    </w:pPr>
                    <w:r>
                      <w:rPr>
                        <w:rFonts w:ascii="Calibri"/>
                        <w:spacing w:val="-2"/>
                        <w:sz w:val="20"/>
                      </w:rPr>
                      <w:t>0,5</w:t>
                    </w:r>
                  </w:p>
                  <w:p>
                    <w:pPr>
                      <w:spacing w:line="240" w:lineRule="auto" w:before="9"/>
                      <w:rPr>
                        <w:sz w:val="26"/>
                      </w:rPr>
                    </w:pPr>
                  </w:p>
                  <w:p>
                    <w:pPr>
                      <w:spacing w:line="240" w:lineRule="exact" w:before="0"/>
                      <w:ind w:left="131" w:right="0" w:firstLine="0"/>
                      <w:jc w:val="center"/>
                      <w:rPr>
                        <w:rFonts w:ascii="Calibri"/>
                        <w:sz w:val="20"/>
                      </w:rPr>
                    </w:pPr>
                    <w:r>
                      <w:rPr>
                        <w:rFonts w:ascii="Calibri"/>
                        <w:sz w:val="20"/>
                      </w:rPr>
                      <w:t>0</w:t>
                    </w:r>
                  </w:p>
                </w:txbxContent>
              </v:textbox>
              <w10:wrap type="none"/>
            </v:shape>
            <v:shape style="position:absolute;left:6917;top:-4208;width:386;height:200" type="#_x0000_t202" filled="false" stroked="false">
              <v:textbox inset="0,0,0,0">
                <w:txbxContent>
                  <w:p>
                    <w:pPr>
                      <w:spacing w:line="200" w:lineRule="exact" w:before="0"/>
                      <w:ind w:left="0" w:right="0" w:firstLine="0"/>
                      <w:jc w:val="left"/>
                      <w:rPr>
                        <w:rFonts w:ascii="Calibri"/>
                        <w:sz w:val="20"/>
                      </w:rPr>
                    </w:pPr>
                    <w:r>
                      <w:rPr>
                        <w:rFonts w:ascii="Calibri"/>
                        <w:sz w:val="20"/>
                      </w:rPr>
                      <w:t>Avril</w:t>
                    </w:r>
                  </w:p>
                </w:txbxContent>
              </v:textbox>
              <w10:wrap type="none"/>
            </v:shape>
            <v:shape style="position:absolute;left:5429;top:-4208;width:434;height:200" type="#_x0000_t202" filled="false" stroked="false">
              <v:textbox inset="0,0,0,0">
                <w:txbxContent>
                  <w:p>
                    <w:pPr>
                      <w:spacing w:line="200" w:lineRule="exact" w:before="0"/>
                      <w:ind w:left="0" w:right="0" w:firstLine="0"/>
                      <w:jc w:val="left"/>
                      <w:rPr>
                        <w:rFonts w:ascii="Calibri"/>
                        <w:sz w:val="20"/>
                      </w:rPr>
                    </w:pPr>
                    <w:r>
                      <w:rPr>
                        <w:rFonts w:ascii="Calibri"/>
                        <w:sz w:val="20"/>
                      </w:rPr>
                      <w:t>Mars</w:t>
                    </w:r>
                  </w:p>
                </w:txbxContent>
              </v:textbox>
              <w10:wrap type="none"/>
            </v:shape>
            <v:shape style="position:absolute;left:3824;top:-4208;width:585;height:200" type="#_x0000_t202" filled="false" stroked="false">
              <v:textbox inset="0,0,0,0">
                <w:txbxContent>
                  <w:p>
                    <w:pPr>
                      <w:spacing w:line="200" w:lineRule="exact" w:before="0"/>
                      <w:ind w:left="0" w:right="0" w:firstLine="0"/>
                      <w:jc w:val="left"/>
                      <w:rPr>
                        <w:rFonts w:ascii="Calibri" w:hAnsi="Calibri"/>
                        <w:sz w:val="20"/>
                      </w:rPr>
                    </w:pPr>
                    <w:r>
                      <w:rPr>
                        <w:rFonts w:ascii="Calibri" w:hAnsi="Calibri"/>
                        <w:sz w:val="20"/>
                      </w:rPr>
                      <w:t>Février</w:t>
                    </w:r>
                  </w:p>
                </w:txbxContent>
              </v:textbox>
              <w10:wrap type="none"/>
            </v:shape>
            <v:shape style="position:absolute;left:1884;top:-4191;width:270;height:200" type="#_x0000_t202" filled="false" stroked="false">
              <v:textbox inset="0,0,0,0">
                <w:txbxContent>
                  <w:p>
                    <w:pPr>
                      <w:spacing w:line="200" w:lineRule="exact" w:before="0"/>
                      <w:ind w:left="0" w:right="0" w:firstLine="0"/>
                      <w:jc w:val="left"/>
                      <w:rPr>
                        <w:rFonts w:ascii="Calibri"/>
                        <w:sz w:val="20"/>
                      </w:rPr>
                    </w:pPr>
                    <w:r>
                      <w:rPr>
                        <w:rFonts w:ascii="Calibri"/>
                        <w:sz w:val="20"/>
                      </w:rPr>
                      <w:t>2,5</w:t>
                    </w:r>
                  </w:p>
                </w:txbxContent>
              </v:textbox>
              <w10:wrap type="none"/>
            </v:shape>
            <w10:wrap type="none"/>
          </v:group>
        </w:pict>
      </w:r>
      <w:r>
        <w:rPr/>
        <w:pict>
          <v:shape style="position:absolute;margin-left:84.892258pt;margin-top:-178.685516pt;width:12pt;height:84.6pt;mso-position-horizontal-relative:page;mso-position-vertical-relative:paragraph;z-index:7672" type="#_x0000_t202" filled="false" stroked="false">
            <v:textbox inset="0,0,0,0" style="layout-flow:vertical;mso-layout-flow-alt:bottom-to-top">
              <w:txbxContent>
                <w:p>
                  <w:pPr>
                    <w:spacing w:line="224" w:lineRule="exact" w:before="0"/>
                    <w:ind w:left="20" w:right="0" w:firstLine="0"/>
                    <w:jc w:val="left"/>
                    <w:rPr>
                      <w:rFonts w:ascii="Calibri"/>
                      <w:b/>
                      <w:sz w:val="20"/>
                    </w:rPr>
                  </w:pPr>
                  <w:r>
                    <w:rPr>
                      <w:rFonts w:ascii="Calibri"/>
                      <w:b/>
                      <w:sz w:val="20"/>
                    </w:rPr>
                    <w:t>Vleurs du Fer (mg/l)</w:t>
                  </w:r>
                </w:p>
              </w:txbxContent>
            </v:textbox>
            <w10:wrap type="none"/>
          </v:shape>
        </w:pict>
      </w:r>
      <w:r>
        <w:rPr>
          <w:b/>
        </w:rPr>
        <w:t>Figure 25 : </w:t>
      </w:r>
      <w:r>
        <w:rPr/>
        <w:t>Variations du Fer dans les eaux de sources échantillonnées.</w:t>
      </w:r>
    </w:p>
    <w:p>
      <w:pPr>
        <w:pStyle w:val="BodyText"/>
        <w:rPr>
          <w:sz w:val="26"/>
        </w:rPr>
      </w:pPr>
    </w:p>
    <w:p>
      <w:pPr>
        <w:pStyle w:val="BodyText"/>
        <w:rPr>
          <w:sz w:val="26"/>
        </w:rPr>
      </w:pPr>
    </w:p>
    <w:p>
      <w:pPr>
        <w:pStyle w:val="Heading4"/>
        <w:numPr>
          <w:ilvl w:val="1"/>
          <w:numId w:val="29"/>
        </w:numPr>
        <w:tabs>
          <w:tab w:pos="1240" w:val="left" w:leader="none"/>
        </w:tabs>
        <w:spacing w:line="240" w:lineRule="auto" w:before="162" w:after="0"/>
        <w:ind w:left="1239" w:right="0" w:hanging="564"/>
        <w:jc w:val="left"/>
      </w:pPr>
      <w:bookmarkStart w:name="_TOC_250006" w:id="75"/>
      <w:r>
        <w:rPr/>
        <w:t>Les analyses</w:t>
      </w:r>
      <w:r>
        <w:rPr>
          <w:spacing w:val="-3"/>
        </w:rPr>
        <w:t> </w:t>
      </w:r>
      <w:bookmarkEnd w:id="75"/>
      <w:r>
        <w:rPr/>
        <w:t>bactériologiques:</w:t>
      </w:r>
    </w:p>
    <w:p>
      <w:pPr>
        <w:pStyle w:val="BodyText"/>
        <w:spacing w:before="9"/>
        <w:rPr>
          <w:b/>
          <w:sz w:val="20"/>
        </w:rPr>
      </w:pPr>
    </w:p>
    <w:p>
      <w:pPr>
        <w:pStyle w:val="BodyText"/>
        <w:spacing w:line="273" w:lineRule="auto" w:before="1"/>
        <w:ind w:left="675" w:right="1413" w:firstLine="707"/>
        <w:jc w:val="both"/>
      </w:pPr>
      <w:r>
        <w:rPr/>
        <w:t>Nous avons déterminé la composition bactériologique des eaux de sources. Les échantillons étaient constitués de 3 prélèvements au niveau de 6 sources durant la période février – avril2016.</w:t>
      </w:r>
    </w:p>
    <w:p>
      <w:pPr>
        <w:spacing w:line="276" w:lineRule="auto" w:before="207"/>
        <w:ind w:left="675" w:right="1411" w:firstLine="707"/>
        <w:jc w:val="both"/>
        <w:rPr>
          <w:sz w:val="24"/>
        </w:rPr>
      </w:pPr>
      <w:r>
        <w:rPr>
          <w:sz w:val="24"/>
        </w:rPr>
        <w:t>Les analyses bactériologiques ont été effectuées au niveau du laboratoire ADE de Hammam Debagh, et consistent à la recherche des : </w:t>
      </w:r>
      <w:r>
        <w:rPr>
          <w:i/>
          <w:sz w:val="24"/>
        </w:rPr>
        <w:t>Germes totaux, coliformes totaux </w:t>
      </w:r>
      <w:r>
        <w:rPr>
          <w:sz w:val="24"/>
        </w:rPr>
        <w:t>et </w:t>
      </w:r>
      <w:r>
        <w:rPr>
          <w:i/>
          <w:sz w:val="24"/>
        </w:rPr>
        <w:t>fécaux</w:t>
      </w:r>
      <w:r>
        <w:rPr>
          <w:sz w:val="24"/>
        </w:rPr>
        <w:t>, des </w:t>
      </w:r>
      <w:r>
        <w:rPr>
          <w:i/>
          <w:sz w:val="24"/>
        </w:rPr>
        <w:t>Streptocoques fécaux</w:t>
      </w:r>
      <w:r>
        <w:rPr>
          <w:sz w:val="24"/>
        </w:rPr>
        <w:t>, des </w:t>
      </w:r>
      <w:r>
        <w:rPr>
          <w:i/>
          <w:sz w:val="24"/>
        </w:rPr>
        <w:t>Clostridium sulfito-réducteurs</w:t>
      </w:r>
      <w:r>
        <w:rPr>
          <w:sz w:val="24"/>
        </w:rPr>
        <w:t>.</w:t>
      </w:r>
    </w:p>
    <w:p>
      <w:pPr>
        <w:pStyle w:val="Heading4"/>
        <w:numPr>
          <w:ilvl w:val="2"/>
          <w:numId w:val="29"/>
        </w:numPr>
        <w:tabs>
          <w:tab w:pos="1420" w:val="left" w:leader="none"/>
        </w:tabs>
        <w:spacing w:line="240" w:lineRule="auto" w:before="204" w:after="0"/>
        <w:ind w:left="1419" w:right="0" w:hanging="744"/>
        <w:jc w:val="left"/>
      </w:pPr>
      <w:bookmarkStart w:name="_TOC_250005" w:id="76"/>
      <w:r>
        <w:rPr/>
        <w:t>La flore mésophile totale</w:t>
      </w:r>
      <w:r>
        <w:rPr>
          <w:spacing w:val="-8"/>
        </w:rPr>
        <w:t> </w:t>
      </w:r>
      <w:bookmarkEnd w:id="76"/>
      <w:r>
        <w:rPr/>
        <w:t>:</w:t>
      </w:r>
    </w:p>
    <w:p>
      <w:pPr>
        <w:pStyle w:val="BodyText"/>
        <w:spacing w:before="5"/>
        <w:rPr>
          <w:b/>
          <w:sz w:val="20"/>
        </w:rPr>
      </w:pPr>
    </w:p>
    <w:p>
      <w:pPr>
        <w:pStyle w:val="BodyText"/>
        <w:spacing w:line="278" w:lineRule="auto"/>
        <w:ind w:left="675" w:right="1416" w:firstLine="707"/>
        <w:jc w:val="both"/>
      </w:pPr>
      <w:r>
        <w:rPr/>
        <w:t>L’évolution temporelle de la flore mésophile au niveau des eaux de sources échantillonnées est représentée dans la figure</w:t>
      </w:r>
      <w:r>
        <w:rPr>
          <w:spacing w:val="4"/>
        </w:rPr>
        <w:t> </w:t>
      </w:r>
      <w:r>
        <w:rPr/>
        <w:t>(26).</w:t>
      </w:r>
    </w:p>
    <w:p>
      <w:pPr>
        <w:pStyle w:val="BodyText"/>
        <w:spacing w:line="276" w:lineRule="auto" w:before="195"/>
        <w:ind w:left="675" w:right="1416" w:firstLine="707"/>
        <w:jc w:val="both"/>
      </w:pPr>
      <w:r>
        <w:rPr/>
        <w:t>Les résultats obtenus montrent un nombre compris entre 1UFC / ml et 300 UFC / ml dont la valeur minimal est enregistrée au niveau de la source SAG pendant le mois de mars et la valeur maximale enregistrée au niveau de la source SAD aussi pendant le même mois.</w:t>
      </w:r>
    </w:p>
    <w:p>
      <w:pPr>
        <w:pStyle w:val="BodyText"/>
        <w:spacing w:line="276" w:lineRule="auto" w:before="200"/>
        <w:ind w:left="675" w:right="1415" w:firstLine="707"/>
        <w:jc w:val="both"/>
      </w:pPr>
      <w:r>
        <w:rPr/>
        <w:t>D’après la norme fixée par l’OMS (2011) (100 UFC/ml) on constate une contamination importante par les germes totaux durant mois de mars au niveau de la source SBG.</w:t>
      </w:r>
    </w:p>
    <w:p>
      <w:pPr>
        <w:spacing w:after="0" w:line="276" w:lineRule="auto"/>
        <w:jc w:val="both"/>
        <w:sectPr>
          <w:pgSz w:w="11900" w:h="16840"/>
          <w:pgMar w:header="727" w:footer="1061" w:top="1180" w:bottom="1260" w:left="74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1"/>
        </w:rPr>
      </w:pPr>
    </w:p>
    <w:p>
      <w:pPr>
        <w:pStyle w:val="BodyText"/>
        <w:spacing w:before="90"/>
        <w:ind w:left="1275"/>
      </w:pPr>
      <w:r>
        <w:rPr/>
        <w:pict>
          <v:group style="position:absolute;margin-left:71.850334pt;margin-top:-275.308014pt;width:418.75pt;height:268pt;mso-position-horizontal-relative:page;mso-position-vertical-relative:paragraph;z-index:8104" coordorigin="1437,-5506" coordsize="8375,5360">
            <v:shape style="position:absolute;left:2640;top:-5263;width:5879;height:4008" type="#_x0000_t75" stroked="false">
              <v:imagedata r:id="rId135" o:title=""/>
            </v:shape>
            <v:shape style="position:absolute;left:2619;top:-5081;width:5662;height:3844" coordorigin="2619,-5080" coordsize="5662,3844" path="m2680,-1293l2617,-1293m2680,-1920l2617,-1920m2680,-2552l2617,-2552m2680,-3179l2617,-3179m2680,-3811l2617,-3811m2680,-4439l2617,-4439m2680,-5070l2617,-5070m2681,-1293l2681,-1229m3613,-1293l3613,-1229m4544,-1293l4544,-1229m5479,-1293l5479,-1229m6411,-1293l6411,-1229m7342,-1293l7342,-1229m8275,-1293l8275,-1229e" filled="false" stroked="true" strokeweight=".999328pt" strokecolor="#858585">
              <v:path arrowok="t"/>
              <v:stroke dashstyle="solid"/>
            </v:shape>
            <v:rect style="position:absolute;left:2996;top:-5105;width:110;height:110" filled="true" fillcolor="#4f81bc" stroked="false">
              <v:fill type="solid"/>
            </v:rect>
            <v:rect style="position:absolute;left:4841;top:-5105;width:110;height:110" filled="true" fillcolor="#c0504d" stroked="false">
              <v:fill type="solid"/>
            </v:rect>
            <v:rect style="position:absolute;left:6535;top:-5105;width:110;height:110" filled="true" fillcolor="#9bba58" stroked="false">
              <v:fill type="solid"/>
            </v:rect>
            <v:rect style="position:absolute;left:1446;top:-5486;width:8350;height:5337" filled="false" stroked="true" strokeweight=".999328pt" strokecolor="#858585">
              <v:stroke dashstyle="solid"/>
            </v:rect>
            <v:shape style="position:absolute;left:5082;top:-697;width:816;height:266" type="#_x0000_t202" filled="false" stroked="false">
              <v:textbox inset="0,0,0,0">
                <w:txbxContent>
                  <w:p>
                    <w:pPr>
                      <w:spacing w:line="266" w:lineRule="exact" w:before="0"/>
                      <w:ind w:left="0" w:right="0" w:firstLine="0"/>
                      <w:jc w:val="left"/>
                      <w:rPr>
                        <w:b/>
                        <w:sz w:val="24"/>
                      </w:rPr>
                    </w:pPr>
                    <w:r>
                      <w:rPr>
                        <w:b/>
                        <w:sz w:val="24"/>
                      </w:rPr>
                      <w:t>Sources</w:t>
                    </w:r>
                  </w:p>
                </w:txbxContent>
              </v:textbox>
              <w10:wrap type="none"/>
            </v:shape>
            <v:shape style="position:absolute;left:7645;top:-1064;width:346;height:200" type="#_x0000_t202" filled="false" stroked="false">
              <v:textbox inset="0,0,0,0">
                <w:txbxContent>
                  <w:p>
                    <w:pPr>
                      <w:spacing w:line="200" w:lineRule="exact" w:before="0"/>
                      <w:ind w:left="0" w:right="0" w:firstLine="0"/>
                      <w:jc w:val="left"/>
                      <w:rPr>
                        <w:rFonts w:ascii="Calibri"/>
                        <w:sz w:val="20"/>
                      </w:rPr>
                    </w:pPr>
                    <w:r>
                      <w:rPr>
                        <w:rFonts w:ascii="Calibri"/>
                        <w:sz w:val="20"/>
                      </w:rPr>
                      <w:t>SBG</w:t>
                    </w:r>
                  </w:p>
                </w:txbxContent>
              </v:textbox>
              <w10:wrap type="none"/>
            </v:shape>
            <v:shape style="position:absolute;left:6708;top:-1064;width:354;height:200" type="#_x0000_t202" filled="false" stroked="false">
              <v:textbox inset="0,0,0,0">
                <w:txbxContent>
                  <w:p>
                    <w:pPr>
                      <w:spacing w:line="200" w:lineRule="exact" w:before="0"/>
                      <w:ind w:left="0" w:right="0" w:firstLine="0"/>
                      <w:jc w:val="left"/>
                      <w:rPr>
                        <w:rFonts w:ascii="Calibri"/>
                        <w:sz w:val="20"/>
                      </w:rPr>
                    </w:pPr>
                    <w:r>
                      <w:rPr>
                        <w:rFonts w:ascii="Calibri"/>
                        <w:sz w:val="20"/>
                      </w:rPr>
                      <w:t>SAG</w:t>
                    </w:r>
                  </w:p>
                </w:txbxContent>
              </v:textbox>
              <w10:wrap type="none"/>
            </v:shape>
            <v:shape style="position:absolute;left:5780;top:-1064;width:351;height:200" type="#_x0000_t202" filled="false" stroked="false">
              <v:textbox inset="0,0,0,0">
                <w:txbxContent>
                  <w:p>
                    <w:pPr>
                      <w:spacing w:line="200" w:lineRule="exact" w:before="0"/>
                      <w:ind w:left="0" w:right="0" w:firstLine="0"/>
                      <w:jc w:val="left"/>
                      <w:rPr>
                        <w:rFonts w:ascii="Calibri"/>
                        <w:sz w:val="20"/>
                      </w:rPr>
                    </w:pPr>
                    <w:r>
                      <w:rPr>
                        <w:rFonts w:ascii="Calibri"/>
                        <w:sz w:val="20"/>
                      </w:rPr>
                      <w:t>SAD</w:t>
                    </w:r>
                  </w:p>
                </w:txbxContent>
              </v:textbox>
              <w10:wrap type="none"/>
            </v:shape>
            <v:shape style="position:absolute;left:4771;top:-1064;width:503;height:200" type="#_x0000_t202" filled="false" stroked="false">
              <v:textbox inset="0,0,0,0">
                <w:txbxContent>
                  <w:p>
                    <w:pPr>
                      <w:spacing w:line="200" w:lineRule="exact" w:before="0"/>
                      <w:ind w:left="0" w:right="0" w:firstLine="0"/>
                      <w:jc w:val="left"/>
                      <w:rPr>
                        <w:rFonts w:ascii="Calibri"/>
                        <w:sz w:val="20"/>
                      </w:rPr>
                    </w:pPr>
                    <w:r>
                      <w:rPr>
                        <w:rFonts w:ascii="Calibri"/>
                        <w:sz w:val="20"/>
                      </w:rPr>
                      <w:t>SBWC</w:t>
                    </w:r>
                  </w:p>
                </w:txbxContent>
              </v:textbox>
              <w10:wrap type="none"/>
            </v:shape>
            <v:shape style="position:absolute;left:3875;top:-1064;width:430;height:200" type="#_x0000_t202" filled="false" stroked="false">
              <v:textbox inset="0,0,0,0">
                <w:txbxContent>
                  <w:p>
                    <w:pPr>
                      <w:spacing w:line="200" w:lineRule="exact" w:before="0"/>
                      <w:ind w:left="0" w:right="0" w:firstLine="0"/>
                      <w:jc w:val="left"/>
                      <w:rPr>
                        <w:rFonts w:ascii="Calibri"/>
                        <w:sz w:val="20"/>
                      </w:rPr>
                    </w:pPr>
                    <w:r>
                      <w:rPr>
                        <w:rFonts w:ascii="Calibri"/>
                        <w:sz w:val="20"/>
                      </w:rPr>
                      <w:t>SABZ</w:t>
                    </w:r>
                  </w:p>
                </w:txbxContent>
              </v:textbox>
              <w10:wrap type="none"/>
            </v:shape>
            <v:shape style="position:absolute;left:2986;top:-1064;width:344;height:200" type="#_x0000_t202" filled="false" stroked="false">
              <v:textbox inset="0,0,0,0">
                <w:txbxContent>
                  <w:p>
                    <w:pPr>
                      <w:spacing w:line="200" w:lineRule="exact" w:before="0"/>
                      <w:ind w:left="0" w:right="0" w:firstLine="0"/>
                      <w:jc w:val="left"/>
                      <w:rPr>
                        <w:rFonts w:ascii="Calibri"/>
                        <w:sz w:val="20"/>
                      </w:rPr>
                    </w:pPr>
                    <w:r>
                      <w:rPr>
                        <w:rFonts w:ascii="Calibri"/>
                        <w:sz w:val="20"/>
                      </w:rPr>
                      <w:t>SAA</w:t>
                    </w:r>
                  </w:p>
                </w:txbxContent>
              </v:textbox>
              <w10:wrap type="none"/>
            </v:shape>
            <v:shape style="position:absolute;left:2394;top:-1372;width:122;height:200" type="#_x0000_t202" filled="false" stroked="false">
              <v:textbox inset="0,0,0,0">
                <w:txbxContent>
                  <w:p>
                    <w:pPr>
                      <w:spacing w:line="200" w:lineRule="exact" w:before="0"/>
                      <w:ind w:left="0" w:right="0" w:firstLine="0"/>
                      <w:jc w:val="left"/>
                      <w:rPr>
                        <w:rFonts w:ascii="Calibri"/>
                        <w:sz w:val="20"/>
                      </w:rPr>
                    </w:pPr>
                    <w:r>
                      <w:rPr>
                        <w:rFonts w:ascii="Calibri"/>
                        <w:sz w:val="20"/>
                      </w:rPr>
                      <w:t>0</w:t>
                    </w:r>
                  </w:p>
                </w:txbxContent>
              </v:textbox>
              <w10:wrap type="none"/>
            </v:shape>
            <v:shape style="position:absolute;left:2292;top:-2001;width:220;height:200" type="#_x0000_t202" filled="false" stroked="false">
              <v:textbox inset="0,0,0,0">
                <w:txbxContent>
                  <w:p>
                    <w:pPr>
                      <w:spacing w:line="200" w:lineRule="exact" w:before="0"/>
                      <w:ind w:left="0" w:right="0" w:firstLine="0"/>
                      <w:jc w:val="left"/>
                      <w:rPr>
                        <w:rFonts w:ascii="Calibri"/>
                        <w:sz w:val="20"/>
                      </w:rPr>
                    </w:pPr>
                    <w:r>
                      <w:rPr>
                        <w:rFonts w:ascii="Calibri"/>
                        <w:sz w:val="20"/>
                      </w:rPr>
                      <w:t>50</w:t>
                    </w:r>
                  </w:p>
                </w:txbxContent>
              </v:textbox>
              <w10:wrap type="none"/>
            </v:shape>
            <v:shape style="position:absolute;left:2193;top:-2631;width:320;height:200" type="#_x0000_t202" filled="false" stroked="false">
              <v:textbox inset="0,0,0,0">
                <w:txbxContent>
                  <w:p>
                    <w:pPr>
                      <w:spacing w:line="200" w:lineRule="exact" w:before="0"/>
                      <w:ind w:left="0" w:right="0" w:firstLine="0"/>
                      <w:jc w:val="left"/>
                      <w:rPr>
                        <w:rFonts w:ascii="Calibri"/>
                        <w:sz w:val="20"/>
                      </w:rPr>
                    </w:pPr>
                    <w:r>
                      <w:rPr>
                        <w:rFonts w:ascii="Calibri"/>
                        <w:sz w:val="20"/>
                      </w:rPr>
                      <w:t>100</w:t>
                    </w:r>
                  </w:p>
                </w:txbxContent>
              </v:textbox>
              <w10:wrap type="none"/>
            </v:shape>
            <v:shape style="position:absolute;left:2193;top:-3261;width:320;height:200" type="#_x0000_t202" filled="false" stroked="false">
              <v:textbox inset="0,0,0,0">
                <w:txbxContent>
                  <w:p>
                    <w:pPr>
                      <w:spacing w:line="200" w:lineRule="exact" w:before="0"/>
                      <w:ind w:left="0" w:right="0" w:firstLine="0"/>
                      <w:jc w:val="left"/>
                      <w:rPr>
                        <w:rFonts w:ascii="Calibri"/>
                        <w:sz w:val="20"/>
                      </w:rPr>
                    </w:pPr>
                    <w:r>
                      <w:rPr>
                        <w:rFonts w:ascii="Calibri"/>
                        <w:sz w:val="20"/>
                      </w:rPr>
                      <w:t>150</w:t>
                    </w:r>
                  </w:p>
                </w:txbxContent>
              </v:textbox>
              <w10:wrap type="none"/>
            </v:shape>
            <v:shape style="position:absolute;left:2193;top:-3891;width:320;height:200" type="#_x0000_t202" filled="false" stroked="false">
              <v:textbox inset="0,0,0,0">
                <w:txbxContent>
                  <w:p>
                    <w:pPr>
                      <w:spacing w:line="200" w:lineRule="exact" w:before="0"/>
                      <w:ind w:left="0" w:right="0" w:firstLine="0"/>
                      <w:jc w:val="left"/>
                      <w:rPr>
                        <w:rFonts w:ascii="Calibri"/>
                        <w:sz w:val="20"/>
                      </w:rPr>
                    </w:pPr>
                    <w:r>
                      <w:rPr>
                        <w:rFonts w:ascii="Calibri"/>
                        <w:sz w:val="20"/>
                      </w:rPr>
                      <w:t>200</w:t>
                    </w:r>
                  </w:p>
                </w:txbxContent>
              </v:textbox>
              <w10:wrap type="none"/>
            </v:shape>
            <v:shape style="position:absolute;left:2193;top:-4520;width:320;height:200" type="#_x0000_t202" filled="false" stroked="false">
              <v:textbox inset="0,0,0,0">
                <w:txbxContent>
                  <w:p>
                    <w:pPr>
                      <w:spacing w:line="200" w:lineRule="exact" w:before="0"/>
                      <w:ind w:left="0" w:right="0" w:firstLine="0"/>
                      <w:jc w:val="left"/>
                      <w:rPr>
                        <w:rFonts w:ascii="Calibri"/>
                        <w:sz w:val="20"/>
                      </w:rPr>
                    </w:pPr>
                    <w:r>
                      <w:rPr>
                        <w:rFonts w:ascii="Calibri"/>
                        <w:sz w:val="20"/>
                      </w:rPr>
                      <w:t>250</w:t>
                    </w:r>
                  </w:p>
                </w:txbxContent>
              </v:textbox>
              <w10:wrap type="none"/>
            </v:shape>
            <v:shape style="position:absolute;left:6694;top:-5141;width:386;height:200" type="#_x0000_t202" filled="false" stroked="false">
              <v:textbox inset="0,0,0,0">
                <w:txbxContent>
                  <w:p>
                    <w:pPr>
                      <w:spacing w:line="200" w:lineRule="exact" w:before="0"/>
                      <w:ind w:left="0" w:right="0" w:firstLine="0"/>
                      <w:jc w:val="left"/>
                      <w:rPr>
                        <w:rFonts w:ascii="Calibri"/>
                        <w:sz w:val="20"/>
                      </w:rPr>
                    </w:pPr>
                    <w:r>
                      <w:rPr>
                        <w:rFonts w:ascii="Calibri"/>
                        <w:sz w:val="20"/>
                      </w:rPr>
                      <w:t>Avril</w:t>
                    </w:r>
                  </w:p>
                </w:txbxContent>
              </v:textbox>
              <w10:wrap type="none"/>
            </v:shape>
            <v:shape style="position:absolute;left:5000;top:-5141;width:434;height:200" type="#_x0000_t202" filled="false" stroked="false">
              <v:textbox inset="0,0,0,0">
                <w:txbxContent>
                  <w:p>
                    <w:pPr>
                      <w:spacing w:line="200" w:lineRule="exact" w:before="0"/>
                      <w:ind w:left="0" w:right="0" w:firstLine="0"/>
                      <w:jc w:val="left"/>
                      <w:rPr>
                        <w:rFonts w:ascii="Calibri"/>
                        <w:sz w:val="20"/>
                      </w:rPr>
                    </w:pPr>
                    <w:r>
                      <w:rPr>
                        <w:rFonts w:ascii="Calibri"/>
                        <w:sz w:val="20"/>
                      </w:rPr>
                      <w:t>Mars</w:t>
                    </w:r>
                  </w:p>
                </w:txbxContent>
              </v:textbox>
              <w10:wrap type="none"/>
            </v:shape>
            <v:shape style="position:absolute;left:3154;top:-5141;width:585;height:200" type="#_x0000_t202" filled="false" stroked="false">
              <v:textbox inset="0,0,0,0">
                <w:txbxContent>
                  <w:p>
                    <w:pPr>
                      <w:spacing w:line="200" w:lineRule="exact" w:before="0"/>
                      <w:ind w:left="0" w:right="0" w:firstLine="0"/>
                      <w:jc w:val="left"/>
                      <w:rPr>
                        <w:rFonts w:ascii="Calibri" w:hAnsi="Calibri"/>
                        <w:sz w:val="20"/>
                      </w:rPr>
                    </w:pPr>
                    <w:r>
                      <w:rPr>
                        <w:rFonts w:ascii="Calibri" w:hAnsi="Calibri"/>
                        <w:sz w:val="20"/>
                      </w:rPr>
                      <w:t>Février</w:t>
                    </w:r>
                  </w:p>
                </w:txbxContent>
              </v:textbox>
              <w10:wrap type="none"/>
            </v:shape>
            <v:shape style="position:absolute;left:2193;top:-5150;width:320;height:200" type="#_x0000_t202" filled="false" stroked="false">
              <v:textbox inset="0,0,0,0">
                <w:txbxContent>
                  <w:p>
                    <w:pPr>
                      <w:spacing w:line="200" w:lineRule="exact" w:before="0"/>
                      <w:ind w:left="0" w:right="0" w:firstLine="0"/>
                      <w:jc w:val="left"/>
                      <w:rPr>
                        <w:rFonts w:ascii="Calibri"/>
                        <w:sz w:val="20"/>
                      </w:rPr>
                    </w:pPr>
                    <w:r>
                      <w:rPr>
                        <w:rFonts w:ascii="Calibri"/>
                        <w:sz w:val="20"/>
                      </w:rPr>
                      <w:t>300</w:t>
                    </w:r>
                  </w:p>
                </w:txbxContent>
              </v:textbox>
              <w10:wrap type="none"/>
            </v:shape>
            <w10:wrap type="none"/>
          </v:group>
        </w:pict>
      </w:r>
      <w:r>
        <w:rPr/>
        <w:pict>
          <v:shape style="position:absolute;margin-left:87.372231pt;margin-top:-247.350708pt;width:15.3pt;height:176.85pt;mso-position-horizontal-relative:page;mso-position-vertical-relative:paragraph;z-index:8128" type="#_x0000_t202" filled="false" stroked="false">
            <v:textbox inset="0,0,0,0" style="layout-flow:vertical;mso-layout-flow-alt:bottom-to-top">
              <w:txbxContent>
                <w:p>
                  <w:pPr>
                    <w:spacing w:before="9"/>
                    <w:ind w:left="20" w:right="0" w:firstLine="0"/>
                    <w:jc w:val="left"/>
                    <w:rPr>
                      <w:b/>
                      <w:sz w:val="20"/>
                    </w:rPr>
                  </w:pPr>
                  <w:r>
                    <w:rPr>
                      <w:b/>
                      <w:sz w:val="24"/>
                    </w:rPr>
                    <w:t>La flore mésophile totale(UFC/ml</w:t>
                  </w:r>
                  <w:r>
                    <w:rPr>
                      <w:b/>
                      <w:sz w:val="20"/>
                    </w:rPr>
                    <w:t>)</w:t>
                  </w:r>
                </w:p>
              </w:txbxContent>
            </v:textbox>
            <w10:wrap type="none"/>
          </v:shape>
        </w:pict>
      </w:r>
      <w:r>
        <w:rPr>
          <w:b/>
        </w:rPr>
        <w:t>Figure 26: </w:t>
      </w:r>
      <w:r>
        <w:rPr/>
        <w:t>Évolution temporelle de la flore mésophile des eaux de sources.</w:t>
      </w:r>
    </w:p>
    <w:p>
      <w:pPr>
        <w:pStyle w:val="BodyText"/>
        <w:rPr>
          <w:sz w:val="26"/>
        </w:rPr>
      </w:pPr>
    </w:p>
    <w:p>
      <w:pPr>
        <w:pStyle w:val="BodyText"/>
        <w:rPr>
          <w:sz w:val="26"/>
        </w:rPr>
      </w:pPr>
    </w:p>
    <w:p>
      <w:pPr>
        <w:pStyle w:val="Heading4"/>
        <w:numPr>
          <w:ilvl w:val="2"/>
          <w:numId w:val="29"/>
        </w:numPr>
        <w:tabs>
          <w:tab w:pos="1420" w:val="left" w:leader="none"/>
        </w:tabs>
        <w:spacing w:line="240" w:lineRule="auto" w:before="162" w:after="0"/>
        <w:ind w:left="1419" w:right="0" w:hanging="744"/>
        <w:jc w:val="left"/>
      </w:pPr>
      <w:bookmarkStart w:name="_TOC_250004" w:id="77"/>
      <w:r>
        <w:rPr/>
        <w:t>Les Coliformes totaux</w:t>
      </w:r>
      <w:r>
        <w:rPr>
          <w:spacing w:val="-10"/>
        </w:rPr>
        <w:t> </w:t>
      </w:r>
      <w:bookmarkEnd w:id="77"/>
      <w:r>
        <w:rPr/>
        <w:t>:</w:t>
      </w:r>
    </w:p>
    <w:p>
      <w:pPr>
        <w:pStyle w:val="BodyText"/>
        <w:spacing w:before="9"/>
        <w:rPr>
          <w:b/>
          <w:sz w:val="20"/>
        </w:rPr>
      </w:pPr>
    </w:p>
    <w:p>
      <w:pPr>
        <w:pStyle w:val="BodyText"/>
        <w:spacing w:line="276" w:lineRule="auto" w:before="1"/>
        <w:ind w:left="675" w:right="1411" w:firstLine="707"/>
        <w:jc w:val="both"/>
      </w:pPr>
      <w:r>
        <w:rPr/>
        <w:t>Les coliformes totaux sont considérés comme indicateurs de la qualité microbienne de l’eau parce qu’ils peuvent être indirectement associés à une pollution d’origine fécale. (Leyral et </w:t>
      </w:r>
      <w:r>
        <w:rPr>
          <w:i/>
        </w:rPr>
        <w:t>al</w:t>
      </w:r>
      <w:r>
        <w:rPr/>
        <w:t>, 2002).</w:t>
      </w:r>
    </w:p>
    <w:p>
      <w:pPr>
        <w:pStyle w:val="BodyText"/>
        <w:spacing w:line="276" w:lineRule="auto" w:before="199"/>
        <w:ind w:left="675" w:right="1412" w:firstLine="707"/>
        <w:jc w:val="both"/>
      </w:pPr>
      <w:r>
        <w:rPr>
          <w:spacing w:val="-4"/>
        </w:rPr>
        <w:t>Le </w:t>
      </w:r>
      <w:r>
        <w:rPr/>
        <w:t>nombre de coliformes totaux varient au cours de l’étude entre une valeur minimal de 6 UFC/100 ml d’échantillon au niveau de la source SAA (pendant le mois d’avril) et SBWC (dans le mois de mars) et une valeur maximal de 300 UFC/100 ml d’échantillon au niveau de la source SAD pendant le mois de mars. Par contre l’eau de la source SBG ne contienne aucune colonie (0 UFC/100 ml) pendant les 3 mois. (Figure</w:t>
      </w:r>
      <w:r>
        <w:rPr>
          <w:spacing w:val="-8"/>
        </w:rPr>
        <w:t> </w:t>
      </w:r>
      <w:r>
        <w:rPr/>
        <w:t>27).</w:t>
      </w:r>
    </w:p>
    <w:p>
      <w:pPr>
        <w:pStyle w:val="BodyText"/>
        <w:spacing w:line="273" w:lineRule="auto" w:before="201"/>
        <w:ind w:left="675" w:right="1428" w:firstLine="707"/>
        <w:jc w:val="both"/>
      </w:pPr>
      <w:r>
        <w:rPr>
          <w:spacing w:val="-4"/>
        </w:rPr>
        <w:t>Le </w:t>
      </w:r>
      <w:r>
        <w:rPr/>
        <w:t>nombre de coliformes totaux dans l’eau des sources </w:t>
      </w:r>
      <w:r>
        <w:rPr>
          <w:spacing w:val="-3"/>
        </w:rPr>
        <w:t>SBWC </w:t>
      </w:r>
      <w:r>
        <w:rPr/>
        <w:t>et SAG pendant  le mois de février et avril sont assez importante (13 et 12</w:t>
      </w:r>
      <w:r>
        <w:rPr>
          <w:spacing w:val="-12"/>
        </w:rPr>
        <w:t> </w:t>
      </w:r>
      <w:r>
        <w:rPr/>
        <w:t>UFC/100ml).</w:t>
      </w:r>
    </w:p>
    <w:p>
      <w:pPr>
        <w:pStyle w:val="BodyText"/>
        <w:spacing w:line="276" w:lineRule="auto" w:before="202"/>
        <w:ind w:left="675" w:right="1413" w:firstLine="707"/>
        <w:jc w:val="both"/>
      </w:pPr>
      <w:r>
        <w:rPr/>
        <w:t>Le nombre de coliformes totaux dans l’eau de la source SABZ (31UFC/100ml) durant le mois d’avril dépasse la recommandation de l’OMS (2011) (10 coliformes totaux dans 100 ml d’échantillon).</w:t>
      </w:r>
    </w:p>
    <w:p>
      <w:pPr>
        <w:pStyle w:val="BodyText"/>
        <w:spacing w:line="278" w:lineRule="auto" w:before="199"/>
        <w:ind w:left="675" w:right="1417" w:firstLine="707"/>
        <w:jc w:val="both"/>
      </w:pPr>
      <w:r>
        <w:rPr/>
        <w:t>Le nombre de coliformes totaux dans l’eau de la source SAD analysée dépasse de très loin la norme.</w:t>
      </w:r>
    </w:p>
    <w:p>
      <w:pPr>
        <w:spacing w:after="0" w:line="278" w:lineRule="auto"/>
        <w:jc w:val="both"/>
        <w:sectPr>
          <w:pgSz w:w="11900" w:h="16840"/>
          <w:pgMar w:header="727" w:footer="1061" w:top="1180" w:bottom="1260" w:left="74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6"/>
        </w:rPr>
      </w:pPr>
    </w:p>
    <w:p>
      <w:pPr>
        <w:pStyle w:val="BodyText"/>
        <w:spacing w:before="90"/>
        <w:ind w:left="1155"/>
      </w:pPr>
      <w:r>
        <w:rPr/>
        <w:pict>
          <v:group style="position:absolute;margin-left:71.850334pt;margin-top:-249.715225pt;width:418.75pt;height:242.5pt;mso-position-horizontal-relative:page;mso-position-vertical-relative:paragraph;z-index:8560" coordorigin="1437,-4994" coordsize="8375,4850">
            <v:shape style="position:absolute;left:2446;top:-4658;width:6001;height:3850" type="#_x0000_t75" stroked="false">
              <v:imagedata r:id="rId136" o:title=""/>
            </v:shape>
            <v:shape style="position:absolute;left:2423;top:-4473;width:5787;height:3685" coordorigin="2423,-4472" coordsize="5787,3685" path="m2485,-844l2421,-844m2485,-1448l2421,-1448m2485,-2052l2421,-2052m2485,-2652l2421,-2652m2485,-3255l2421,-3255m2485,-3859l2421,-3859m2485,-4462l2421,-4462m2485,-845l2485,-780m3437,-845l3437,-780m4392,-845l4392,-780m5343,-845l5343,-780m6299,-845l6299,-780m7250,-845l7250,-780m8204,-845l8204,-780e" filled="false" stroked="true" strokeweight=".999328pt" strokecolor="#858585">
              <v:path arrowok="t"/>
              <v:stroke dashstyle="solid"/>
            </v:shape>
            <v:rect style="position:absolute;left:2830;top:-4616;width:110;height:110" filled="true" fillcolor="#4f81bc" stroked="false">
              <v:fill type="solid"/>
            </v:rect>
            <v:rect style="position:absolute;left:4756;top:-4616;width:110;height:110" filled="true" fillcolor="#c0504d" stroked="false">
              <v:fill type="solid"/>
            </v:rect>
            <v:rect style="position:absolute;left:6531;top:-4616;width:110;height:110" filled="true" fillcolor="#9bba58" stroked="false">
              <v:fill type="solid"/>
            </v:rect>
            <v:rect style="position:absolute;left:1446;top:-4974;width:8350;height:4827" filled="false" stroked="true" strokeweight=".999328pt" strokecolor="#858585">
              <v:stroke dashstyle="solid"/>
            </v:rect>
            <v:shape style="position:absolute;left:5020;top:-416;width:667;height:200" type="#_x0000_t202" filled="false" stroked="false">
              <v:textbox inset="0,0,0,0">
                <w:txbxContent>
                  <w:p>
                    <w:pPr>
                      <w:spacing w:line="200" w:lineRule="exact" w:before="0"/>
                      <w:ind w:left="0" w:right="0" w:firstLine="0"/>
                      <w:jc w:val="left"/>
                      <w:rPr>
                        <w:rFonts w:ascii="Calibri"/>
                        <w:b/>
                        <w:sz w:val="20"/>
                      </w:rPr>
                    </w:pPr>
                    <w:r>
                      <w:rPr>
                        <w:rFonts w:ascii="Calibri"/>
                        <w:b/>
                        <w:sz w:val="20"/>
                      </w:rPr>
                      <w:t>Sources</w:t>
                    </w:r>
                  </w:p>
                </w:txbxContent>
              </v:textbox>
              <w10:wrap type="none"/>
            </v:shape>
            <v:shape style="position:absolute;left:7564;top:-615;width:346;height:200" type="#_x0000_t202" filled="false" stroked="false">
              <v:textbox inset="0,0,0,0">
                <w:txbxContent>
                  <w:p>
                    <w:pPr>
                      <w:spacing w:line="200" w:lineRule="exact" w:before="0"/>
                      <w:ind w:left="0" w:right="0" w:firstLine="0"/>
                      <w:jc w:val="left"/>
                      <w:rPr>
                        <w:rFonts w:ascii="Calibri"/>
                        <w:sz w:val="20"/>
                      </w:rPr>
                    </w:pPr>
                    <w:r>
                      <w:rPr>
                        <w:rFonts w:ascii="Calibri"/>
                        <w:sz w:val="20"/>
                      </w:rPr>
                      <w:t>SBG</w:t>
                    </w:r>
                  </w:p>
                </w:txbxContent>
              </v:textbox>
              <w10:wrap type="none"/>
            </v:shape>
            <v:shape style="position:absolute;left:6607;top:-615;width:354;height:200" type="#_x0000_t202" filled="false" stroked="false">
              <v:textbox inset="0,0,0,0">
                <w:txbxContent>
                  <w:p>
                    <w:pPr>
                      <w:spacing w:line="200" w:lineRule="exact" w:before="0"/>
                      <w:ind w:left="0" w:right="0" w:firstLine="0"/>
                      <w:jc w:val="left"/>
                      <w:rPr>
                        <w:rFonts w:ascii="Calibri"/>
                        <w:sz w:val="20"/>
                      </w:rPr>
                    </w:pPr>
                    <w:r>
                      <w:rPr>
                        <w:rFonts w:ascii="Calibri"/>
                        <w:sz w:val="20"/>
                      </w:rPr>
                      <w:t>SAG</w:t>
                    </w:r>
                  </w:p>
                </w:txbxContent>
              </v:textbox>
              <w10:wrap type="none"/>
            </v:shape>
            <v:shape style="position:absolute;left:5657;top:-615;width:351;height:200" type="#_x0000_t202" filled="false" stroked="false">
              <v:textbox inset="0,0,0,0">
                <w:txbxContent>
                  <w:p>
                    <w:pPr>
                      <w:spacing w:line="200" w:lineRule="exact" w:before="0"/>
                      <w:ind w:left="0" w:right="0" w:firstLine="0"/>
                      <w:jc w:val="left"/>
                      <w:rPr>
                        <w:rFonts w:ascii="Calibri"/>
                        <w:sz w:val="20"/>
                      </w:rPr>
                    </w:pPr>
                    <w:r>
                      <w:rPr>
                        <w:rFonts w:ascii="Calibri"/>
                        <w:sz w:val="20"/>
                      </w:rPr>
                      <w:t>SAD</w:t>
                    </w:r>
                  </w:p>
                </w:txbxContent>
              </v:textbox>
              <w10:wrap type="none"/>
            </v:shape>
            <v:shape style="position:absolute;left:4628;top:-615;width:503;height:200" type="#_x0000_t202" filled="false" stroked="false">
              <v:textbox inset="0,0,0,0">
                <w:txbxContent>
                  <w:p>
                    <w:pPr>
                      <w:spacing w:line="200" w:lineRule="exact" w:before="0"/>
                      <w:ind w:left="0" w:right="0" w:firstLine="0"/>
                      <w:jc w:val="left"/>
                      <w:rPr>
                        <w:rFonts w:ascii="Calibri"/>
                        <w:sz w:val="20"/>
                      </w:rPr>
                    </w:pPr>
                    <w:r>
                      <w:rPr>
                        <w:rFonts w:ascii="Calibri"/>
                        <w:sz w:val="20"/>
                      </w:rPr>
                      <w:t>SBWC</w:t>
                    </w:r>
                  </w:p>
                </w:txbxContent>
              </v:textbox>
              <w10:wrap type="none"/>
            </v:shape>
            <v:shape style="position:absolute;left:3711;top:-615;width:430;height:200" type="#_x0000_t202" filled="false" stroked="false">
              <v:textbox inset="0,0,0,0">
                <w:txbxContent>
                  <w:p>
                    <w:pPr>
                      <w:spacing w:line="200" w:lineRule="exact" w:before="0"/>
                      <w:ind w:left="0" w:right="0" w:firstLine="0"/>
                      <w:jc w:val="left"/>
                      <w:rPr>
                        <w:rFonts w:ascii="Calibri"/>
                        <w:sz w:val="20"/>
                      </w:rPr>
                    </w:pPr>
                    <w:r>
                      <w:rPr>
                        <w:rFonts w:ascii="Calibri"/>
                        <w:sz w:val="20"/>
                      </w:rPr>
                      <w:t>SABZ</w:t>
                    </w:r>
                  </w:p>
                </w:txbxContent>
              </v:textbox>
              <w10:wrap type="none"/>
            </v:shape>
            <v:shape style="position:absolute;left:2801;top:-615;width:344;height:200" type="#_x0000_t202" filled="false" stroked="false">
              <v:textbox inset="0,0,0,0">
                <w:txbxContent>
                  <w:p>
                    <w:pPr>
                      <w:spacing w:line="200" w:lineRule="exact" w:before="0"/>
                      <w:ind w:left="0" w:right="0" w:firstLine="0"/>
                      <w:jc w:val="left"/>
                      <w:rPr>
                        <w:rFonts w:ascii="Calibri"/>
                        <w:sz w:val="20"/>
                      </w:rPr>
                    </w:pPr>
                    <w:r>
                      <w:rPr>
                        <w:rFonts w:ascii="Calibri"/>
                        <w:sz w:val="20"/>
                      </w:rPr>
                      <w:t>SAA</w:t>
                    </w:r>
                  </w:p>
                </w:txbxContent>
              </v:textbox>
              <w10:wrap type="none"/>
            </v:shape>
            <v:shape style="position:absolute;left:2199;top:-924;width:122;height:200" type="#_x0000_t202" filled="false" stroked="false">
              <v:textbox inset="0,0,0,0">
                <w:txbxContent>
                  <w:p>
                    <w:pPr>
                      <w:spacing w:line="200" w:lineRule="exact" w:before="0"/>
                      <w:ind w:left="0" w:right="0" w:firstLine="0"/>
                      <w:jc w:val="left"/>
                      <w:rPr>
                        <w:rFonts w:ascii="Calibri"/>
                        <w:sz w:val="20"/>
                      </w:rPr>
                    </w:pPr>
                    <w:r>
                      <w:rPr>
                        <w:rFonts w:ascii="Calibri"/>
                        <w:sz w:val="20"/>
                      </w:rPr>
                      <w:t>0</w:t>
                    </w:r>
                  </w:p>
                </w:txbxContent>
              </v:textbox>
              <w10:wrap type="none"/>
            </v:shape>
            <v:shape style="position:absolute;left:2097;top:-1527;width:220;height:200" type="#_x0000_t202" filled="false" stroked="false">
              <v:textbox inset="0,0,0,0">
                <w:txbxContent>
                  <w:p>
                    <w:pPr>
                      <w:spacing w:line="200" w:lineRule="exact" w:before="0"/>
                      <w:ind w:left="0" w:right="0" w:firstLine="0"/>
                      <w:jc w:val="left"/>
                      <w:rPr>
                        <w:rFonts w:ascii="Calibri"/>
                        <w:sz w:val="20"/>
                      </w:rPr>
                    </w:pPr>
                    <w:r>
                      <w:rPr>
                        <w:rFonts w:ascii="Calibri"/>
                        <w:sz w:val="20"/>
                      </w:rPr>
                      <w:t>50</w:t>
                    </w:r>
                  </w:p>
                </w:txbxContent>
              </v:textbox>
              <w10:wrap type="none"/>
            </v:shape>
            <v:shape style="position:absolute;left:1998;top:-2130;width:320;height:200" type="#_x0000_t202" filled="false" stroked="false">
              <v:textbox inset="0,0,0,0">
                <w:txbxContent>
                  <w:p>
                    <w:pPr>
                      <w:spacing w:line="200" w:lineRule="exact" w:before="0"/>
                      <w:ind w:left="0" w:right="0" w:firstLine="0"/>
                      <w:jc w:val="left"/>
                      <w:rPr>
                        <w:rFonts w:ascii="Calibri"/>
                        <w:sz w:val="20"/>
                      </w:rPr>
                    </w:pPr>
                    <w:r>
                      <w:rPr>
                        <w:rFonts w:ascii="Calibri"/>
                        <w:sz w:val="20"/>
                      </w:rPr>
                      <w:t>100</w:t>
                    </w:r>
                  </w:p>
                </w:txbxContent>
              </v:textbox>
              <w10:wrap type="none"/>
            </v:shape>
            <v:shape style="position:absolute;left:1998;top:-2733;width:320;height:200" type="#_x0000_t202" filled="false" stroked="false">
              <v:textbox inset="0,0,0,0">
                <w:txbxContent>
                  <w:p>
                    <w:pPr>
                      <w:spacing w:line="200" w:lineRule="exact" w:before="0"/>
                      <w:ind w:left="0" w:right="0" w:firstLine="0"/>
                      <w:jc w:val="left"/>
                      <w:rPr>
                        <w:rFonts w:ascii="Calibri"/>
                        <w:sz w:val="20"/>
                      </w:rPr>
                    </w:pPr>
                    <w:r>
                      <w:rPr>
                        <w:rFonts w:ascii="Calibri"/>
                        <w:sz w:val="20"/>
                      </w:rPr>
                      <w:t>150</w:t>
                    </w:r>
                  </w:p>
                </w:txbxContent>
              </v:textbox>
              <w10:wrap type="none"/>
            </v:shape>
            <v:shape style="position:absolute;left:1998;top:-3336;width:320;height:200" type="#_x0000_t202" filled="false" stroked="false">
              <v:textbox inset="0,0,0,0">
                <w:txbxContent>
                  <w:p>
                    <w:pPr>
                      <w:spacing w:line="200" w:lineRule="exact" w:before="0"/>
                      <w:ind w:left="0" w:right="0" w:firstLine="0"/>
                      <w:jc w:val="left"/>
                      <w:rPr>
                        <w:rFonts w:ascii="Calibri"/>
                        <w:sz w:val="20"/>
                      </w:rPr>
                    </w:pPr>
                    <w:r>
                      <w:rPr>
                        <w:rFonts w:ascii="Calibri"/>
                        <w:sz w:val="20"/>
                      </w:rPr>
                      <w:t>200</w:t>
                    </w:r>
                  </w:p>
                </w:txbxContent>
              </v:textbox>
              <w10:wrap type="none"/>
            </v:shape>
            <v:shape style="position:absolute;left:1998;top:-3939;width:320;height:200" type="#_x0000_t202" filled="false" stroked="false">
              <v:textbox inset="0,0,0,0">
                <w:txbxContent>
                  <w:p>
                    <w:pPr>
                      <w:spacing w:line="200" w:lineRule="exact" w:before="0"/>
                      <w:ind w:left="0" w:right="0" w:firstLine="0"/>
                      <w:jc w:val="left"/>
                      <w:rPr>
                        <w:rFonts w:ascii="Calibri"/>
                        <w:sz w:val="20"/>
                      </w:rPr>
                    </w:pPr>
                    <w:r>
                      <w:rPr>
                        <w:rFonts w:ascii="Calibri"/>
                        <w:sz w:val="20"/>
                      </w:rPr>
                      <w:t>250</w:t>
                    </w:r>
                  </w:p>
                </w:txbxContent>
              </v:textbox>
              <w10:wrap type="none"/>
            </v:shape>
            <v:shape style="position:absolute;left:6690;top:-4652;width:386;height:201" type="#_x0000_t202" filled="false" stroked="false">
              <v:textbox inset="0,0,0,0">
                <w:txbxContent>
                  <w:p>
                    <w:pPr>
                      <w:spacing w:line="200" w:lineRule="exact" w:before="0"/>
                      <w:ind w:left="0" w:right="0" w:firstLine="0"/>
                      <w:jc w:val="left"/>
                      <w:rPr>
                        <w:rFonts w:ascii="Calibri"/>
                        <w:sz w:val="20"/>
                      </w:rPr>
                    </w:pPr>
                    <w:r>
                      <w:rPr>
                        <w:rFonts w:ascii="Calibri"/>
                        <w:sz w:val="20"/>
                      </w:rPr>
                      <w:t>Avril</w:t>
                    </w:r>
                  </w:p>
                </w:txbxContent>
              </v:textbox>
              <w10:wrap type="none"/>
            </v:shape>
            <v:shape style="position:absolute;left:4915;top:-4652;width:435;height:201" type="#_x0000_t202" filled="false" stroked="false">
              <v:textbox inset="0,0,0,0">
                <w:txbxContent>
                  <w:p>
                    <w:pPr>
                      <w:spacing w:line="200" w:lineRule="exact" w:before="0"/>
                      <w:ind w:left="0" w:right="0" w:firstLine="0"/>
                      <w:jc w:val="left"/>
                      <w:rPr>
                        <w:rFonts w:ascii="Calibri"/>
                        <w:sz w:val="20"/>
                      </w:rPr>
                    </w:pPr>
                    <w:r>
                      <w:rPr>
                        <w:rFonts w:ascii="Calibri"/>
                        <w:sz w:val="20"/>
                      </w:rPr>
                      <w:t>Mars</w:t>
                    </w:r>
                  </w:p>
                </w:txbxContent>
              </v:textbox>
              <w10:wrap type="none"/>
            </v:shape>
            <v:shape style="position:absolute;left:2988;top:-4652;width:586;height:201" type="#_x0000_t202" filled="false" stroked="false">
              <v:textbox inset="0,0,0,0">
                <w:txbxContent>
                  <w:p>
                    <w:pPr>
                      <w:spacing w:line="200" w:lineRule="exact" w:before="0"/>
                      <w:ind w:left="0" w:right="0" w:firstLine="0"/>
                      <w:jc w:val="left"/>
                      <w:rPr>
                        <w:rFonts w:ascii="Calibri" w:hAnsi="Calibri"/>
                        <w:sz w:val="20"/>
                      </w:rPr>
                    </w:pPr>
                    <w:r>
                      <w:rPr>
                        <w:rFonts w:ascii="Calibri" w:hAnsi="Calibri"/>
                        <w:sz w:val="20"/>
                      </w:rPr>
                      <w:t>Février</w:t>
                    </w:r>
                  </w:p>
                </w:txbxContent>
              </v:textbox>
              <w10:wrap type="none"/>
            </v:shape>
            <v:shape style="position:absolute;left:1998;top:-4542;width:320;height:200" type="#_x0000_t202" filled="false" stroked="false">
              <v:textbox inset="0,0,0,0">
                <w:txbxContent>
                  <w:p>
                    <w:pPr>
                      <w:spacing w:line="200" w:lineRule="exact" w:before="0"/>
                      <w:ind w:left="0" w:right="0" w:firstLine="0"/>
                      <w:jc w:val="left"/>
                      <w:rPr>
                        <w:rFonts w:ascii="Calibri"/>
                        <w:sz w:val="20"/>
                      </w:rPr>
                    </w:pPr>
                    <w:r>
                      <w:rPr>
                        <w:rFonts w:ascii="Calibri"/>
                        <w:sz w:val="20"/>
                      </w:rPr>
                      <w:t>300</w:t>
                    </w:r>
                  </w:p>
                </w:txbxContent>
              </v:textbox>
              <w10:wrap type="none"/>
            </v:shape>
            <w10:wrap type="none"/>
          </v:group>
        </w:pict>
      </w:r>
      <w:r>
        <w:rPr/>
        <w:pict>
          <v:shape style="position:absolute;margin-left:81.19474pt;margin-top:-196.59404pt;width:12pt;height:128.4pt;mso-position-horizontal-relative:page;mso-position-vertical-relative:paragraph;z-index:8584" type="#_x0000_t202" filled="false" stroked="false">
            <v:textbox inset="0,0,0,0" style="layout-flow:vertical;mso-layout-flow-alt:bottom-to-top">
              <w:txbxContent>
                <w:p>
                  <w:pPr>
                    <w:spacing w:line="224" w:lineRule="exact" w:before="0"/>
                    <w:ind w:left="20" w:right="0" w:firstLine="0"/>
                    <w:jc w:val="left"/>
                    <w:rPr>
                      <w:rFonts w:ascii="Calibri"/>
                      <w:b/>
                      <w:sz w:val="20"/>
                    </w:rPr>
                  </w:pPr>
                  <w:r>
                    <w:rPr>
                      <w:rFonts w:ascii="Calibri"/>
                      <w:b/>
                      <w:sz w:val="20"/>
                    </w:rPr>
                    <w:t>Coliformes totaux(UFC/100ml)</w:t>
                  </w:r>
                </w:p>
              </w:txbxContent>
            </v:textbox>
            <w10:wrap type="none"/>
          </v:shape>
        </w:pict>
      </w:r>
      <w:r>
        <w:rPr>
          <w:b/>
        </w:rPr>
        <w:t>Figure 27: </w:t>
      </w:r>
      <w:r>
        <w:rPr/>
        <w:t>Évolution temporelle de coliformes totaux des eaux de sources.</w:t>
      </w:r>
    </w:p>
    <w:p>
      <w:pPr>
        <w:pStyle w:val="BodyText"/>
        <w:rPr>
          <w:sz w:val="26"/>
        </w:rPr>
      </w:pPr>
    </w:p>
    <w:p>
      <w:pPr>
        <w:pStyle w:val="BodyText"/>
        <w:rPr>
          <w:sz w:val="26"/>
        </w:rPr>
      </w:pPr>
    </w:p>
    <w:p>
      <w:pPr>
        <w:pStyle w:val="Heading4"/>
        <w:numPr>
          <w:ilvl w:val="2"/>
          <w:numId w:val="29"/>
        </w:numPr>
        <w:tabs>
          <w:tab w:pos="1419" w:val="left" w:leader="none"/>
        </w:tabs>
        <w:spacing w:line="240" w:lineRule="auto" w:before="166" w:after="0"/>
        <w:ind w:left="1418" w:right="0" w:hanging="743"/>
        <w:jc w:val="left"/>
      </w:pPr>
      <w:bookmarkStart w:name="_TOC_250003" w:id="78"/>
      <w:r>
        <w:rPr/>
        <w:t>Les coliformes fécaux</w:t>
      </w:r>
      <w:r>
        <w:rPr>
          <w:spacing w:val="-5"/>
        </w:rPr>
        <w:t> </w:t>
      </w:r>
      <w:bookmarkEnd w:id="78"/>
      <w:r>
        <w:rPr/>
        <w:t>:</w:t>
      </w:r>
    </w:p>
    <w:p>
      <w:pPr>
        <w:pStyle w:val="BodyText"/>
        <w:spacing w:before="5"/>
        <w:rPr>
          <w:b/>
          <w:sz w:val="20"/>
        </w:rPr>
      </w:pPr>
    </w:p>
    <w:p>
      <w:pPr>
        <w:pStyle w:val="BodyText"/>
        <w:spacing w:line="278" w:lineRule="auto"/>
        <w:ind w:left="675" w:right="1415" w:firstLine="707"/>
        <w:jc w:val="both"/>
      </w:pPr>
      <w:r>
        <w:rPr>
          <w:spacing w:val="-4"/>
        </w:rPr>
        <w:t>La</w:t>
      </w:r>
      <w:r>
        <w:rPr>
          <w:spacing w:val="52"/>
        </w:rPr>
        <w:t> </w:t>
      </w:r>
      <w:r>
        <w:rPr/>
        <w:t>présence de coliformes fécaux témoigne habituellement d’une contamination d’origine fécale ou provenant d’eaux enrichies en matière organique (Barthe et </w:t>
      </w:r>
      <w:r>
        <w:rPr>
          <w:i/>
        </w:rPr>
        <w:t>al</w:t>
      </w:r>
      <w:r>
        <w:rPr/>
        <w:t>, 1998).</w:t>
      </w:r>
    </w:p>
    <w:p>
      <w:pPr>
        <w:pStyle w:val="BodyText"/>
        <w:spacing w:line="276" w:lineRule="auto" w:before="196"/>
        <w:ind w:left="675" w:right="1411" w:firstLine="707"/>
        <w:jc w:val="both"/>
      </w:pPr>
      <w:r>
        <w:rPr/>
        <w:t>Le nombre de coliformes fécaux varient au cours de l’étude entre une valeur minimal de 0 UFC/100 ml d’échantillon (SAA et SBG pendant les trois mois, SBZ pendant le mois d’avril, SBWC pendant le mois de mars et avril, et SAD et SAG pendant le mois de février)et une valeur maximal de 200UFC/100 ml d’échantillon au niveau de la source SAD pendant le mois de mars cette valeur dépasse la norme de l’OMS (0 coliformes fécaux dans 100 ml d’échantillon). (Figure 28).</w:t>
      </w:r>
    </w:p>
    <w:p>
      <w:pPr>
        <w:pStyle w:val="BodyText"/>
        <w:spacing w:line="276" w:lineRule="auto" w:before="198"/>
        <w:ind w:left="675" w:right="1415" w:firstLine="707"/>
        <w:jc w:val="both"/>
      </w:pPr>
      <w:r>
        <w:rPr/>
        <w:t>Selon les valeurs indicatives de l’Organisation Mondiale de Santé (OMS, 2011) une eau de source doit être exempte de contamination fécale, c'est-à-dire ne doit pas contenir de coliformes fécaux.</w:t>
      </w:r>
    </w:p>
    <w:p>
      <w:pPr>
        <w:spacing w:after="0" w:line="276" w:lineRule="auto"/>
        <w:jc w:val="both"/>
        <w:sectPr>
          <w:pgSz w:w="11900" w:h="16840"/>
          <w:pgMar w:header="727" w:footer="1061" w:top="1180" w:bottom="1260" w:left="74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p>
      <w:pPr>
        <w:pStyle w:val="BodyText"/>
        <w:spacing w:before="90"/>
        <w:ind w:left="1335"/>
      </w:pPr>
      <w:r>
        <w:rPr/>
        <w:pict>
          <v:group style="position:absolute;margin-left:71.850334pt;margin-top:-206.283752pt;width:429.25pt;height:199pt;mso-position-horizontal-relative:page;mso-position-vertical-relative:paragraph;z-index:8728" coordorigin="1437,-4126" coordsize="8585,3980">
            <v:shape style="position:absolute;left:2705;top:-3883;width:5922;height:2656" type="#_x0000_t75" stroked="false">
              <v:imagedata r:id="rId137" o:title=""/>
            </v:shape>
            <v:shape style="position:absolute;left:2683;top:-3700;width:5711;height:2498" coordorigin="2683,-3700" coordsize="5711,2498" path="m2744,-1258l2681,-1258m2744,-1503l2681,-1503m2744,-1743l2681,-1743m2744,-1987l2681,-1987m2744,-2231l2681,-2231m2744,-2475l2681,-2475m2744,-2718l2681,-2718m2744,-2962l2681,-2962m2744,-3202l2681,-3202m2744,-3446l2681,-3446m2744,-3690l2681,-3690m2745,-1259l2745,-1194m3685,-1259l3685,-1194m4624,-1259l4624,-1194m5567,-1259l5567,-1194m6507,-1259l6507,-1194m7446,-1259l7446,-1194m8388,-1259l8388,-1194e" filled="false" stroked="true" strokeweight=".999328pt" strokecolor="#858585">
              <v:path arrowok="t"/>
              <v:stroke dashstyle="solid"/>
            </v:shape>
            <v:rect style="position:absolute;left:3272;top:-3785;width:110;height:110" filled="true" fillcolor="#4f81bc" stroked="false">
              <v:fill type="solid"/>
            </v:rect>
            <v:rect style="position:absolute;left:5323;top:-3785;width:110;height:110" filled="true" fillcolor="#c0504d" stroked="false">
              <v:fill type="solid"/>
            </v:rect>
            <v:rect style="position:absolute;left:7222;top:-3785;width:110;height:110" filled="true" fillcolor="#9bba58" stroked="false">
              <v:fill type="solid"/>
            </v:rect>
            <v:rect style="position:absolute;left:1446;top:-4106;width:8560;height:3958" filled="false" stroked="true" strokeweight=".999328pt" strokecolor="#858585">
              <v:stroke dashstyle="solid"/>
            </v:rect>
            <v:shape style="position:absolute;left:3054;top:-1030;width:5047;height:599" type="#_x0000_t202" filled="false" stroked="false">
              <v:textbox inset="0,0,0,0">
                <w:txbxContent>
                  <w:p>
                    <w:pPr>
                      <w:tabs>
                        <w:tab w:pos="896" w:val="left" w:leader="none"/>
                        <w:tab w:pos="1801" w:val="left" w:leader="none"/>
                        <w:tab w:pos="2818" w:val="left" w:leader="none"/>
                        <w:tab w:pos="3755" w:val="left" w:leader="none"/>
                        <w:tab w:pos="4700" w:val="left" w:leader="none"/>
                      </w:tabs>
                      <w:spacing w:line="204" w:lineRule="exact" w:before="0"/>
                      <w:ind w:left="-1" w:right="18" w:firstLine="0"/>
                      <w:jc w:val="center"/>
                      <w:rPr>
                        <w:rFonts w:ascii="Calibri"/>
                        <w:sz w:val="20"/>
                      </w:rPr>
                    </w:pPr>
                    <w:r>
                      <w:rPr>
                        <w:rFonts w:ascii="Calibri"/>
                        <w:sz w:val="20"/>
                      </w:rPr>
                      <w:t>SAA</w:t>
                      <w:tab/>
                      <w:t>SABZ</w:t>
                      <w:tab/>
                      <w:t>SBWC</w:t>
                      <w:tab/>
                      <w:t>SAD</w:t>
                      <w:tab/>
                      <w:t>SAG</w:t>
                      <w:tab/>
                    </w:r>
                    <w:r>
                      <w:rPr>
                        <w:rFonts w:ascii="Calibri"/>
                        <w:spacing w:val="-9"/>
                        <w:sz w:val="20"/>
                      </w:rPr>
                      <w:t>SBG</w:t>
                    </w:r>
                  </w:p>
                  <w:p>
                    <w:pPr>
                      <w:spacing w:line="240" w:lineRule="exact" w:before="154"/>
                      <w:ind w:left="2171" w:right="2191" w:firstLine="0"/>
                      <w:jc w:val="center"/>
                      <w:rPr>
                        <w:rFonts w:ascii="Calibri"/>
                        <w:b/>
                        <w:sz w:val="20"/>
                      </w:rPr>
                    </w:pPr>
                    <w:r>
                      <w:rPr>
                        <w:rFonts w:ascii="Calibri"/>
                        <w:b/>
                        <w:sz w:val="20"/>
                      </w:rPr>
                      <w:t>Sources</w:t>
                    </w:r>
                  </w:p>
                </w:txbxContent>
              </v:textbox>
              <w10:wrap type="none"/>
            </v:shape>
            <v:shape style="position:absolute;left:7382;top:-3821;width:386;height:200" type="#_x0000_t202" filled="false" stroked="false">
              <v:textbox inset="0,0,0,0">
                <w:txbxContent>
                  <w:p>
                    <w:pPr>
                      <w:spacing w:line="200" w:lineRule="exact" w:before="0"/>
                      <w:ind w:left="0" w:right="0" w:firstLine="0"/>
                      <w:jc w:val="left"/>
                      <w:rPr>
                        <w:rFonts w:ascii="Calibri"/>
                        <w:sz w:val="20"/>
                      </w:rPr>
                    </w:pPr>
                    <w:r>
                      <w:rPr>
                        <w:rFonts w:ascii="Calibri"/>
                        <w:sz w:val="20"/>
                      </w:rPr>
                      <w:t>Avril</w:t>
                    </w:r>
                  </w:p>
                </w:txbxContent>
              </v:textbox>
              <w10:wrap type="none"/>
            </v:shape>
            <v:shape style="position:absolute;left:5482;top:-3821;width:434;height:200" type="#_x0000_t202" filled="false" stroked="false">
              <v:textbox inset="0,0,0,0">
                <w:txbxContent>
                  <w:p>
                    <w:pPr>
                      <w:spacing w:line="200" w:lineRule="exact" w:before="0"/>
                      <w:ind w:left="0" w:right="0" w:firstLine="0"/>
                      <w:jc w:val="left"/>
                      <w:rPr>
                        <w:rFonts w:ascii="Calibri"/>
                        <w:sz w:val="20"/>
                      </w:rPr>
                    </w:pPr>
                    <w:r>
                      <w:rPr>
                        <w:rFonts w:ascii="Calibri"/>
                        <w:sz w:val="20"/>
                      </w:rPr>
                      <w:t>Mars</w:t>
                    </w:r>
                  </w:p>
                </w:txbxContent>
              </v:textbox>
              <w10:wrap type="none"/>
            </v:shape>
            <v:shape style="position:absolute;left:3430;top:-3821;width:585;height:200" type="#_x0000_t202" filled="false" stroked="false">
              <v:textbox inset="0,0,0,0">
                <w:txbxContent>
                  <w:p>
                    <w:pPr>
                      <w:spacing w:line="200" w:lineRule="exact" w:before="0"/>
                      <w:ind w:left="0" w:right="0" w:firstLine="0"/>
                      <w:jc w:val="left"/>
                      <w:rPr>
                        <w:rFonts w:ascii="Calibri" w:hAnsi="Calibri"/>
                        <w:sz w:val="20"/>
                      </w:rPr>
                    </w:pPr>
                    <w:r>
                      <w:rPr>
                        <w:rFonts w:ascii="Calibri" w:hAnsi="Calibri"/>
                        <w:sz w:val="20"/>
                      </w:rPr>
                      <w:t>Février</w:t>
                    </w:r>
                  </w:p>
                </w:txbxContent>
              </v:textbox>
              <w10:wrap type="none"/>
            </v:shape>
            <v:shape style="position:absolute;left:2255;top:-3770;width:323;height:2632" type="#_x0000_t202" filled="false" stroked="false">
              <v:textbox inset="0,0,0,0">
                <w:txbxContent>
                  <w:p>
                    <w:pPr>
                      <w:spacing w:line="203" w:lineRule="exact" w:before="0"/>
                      <w:ind w:left="0" w:right="0" w:firstLine="0"/>
                      <w:jc w:val="left"/>
                      <w:rPr>
                        <w:rFonts w:ascii="Calibri"/>
                        <w:sz w:val="20"/>
                      </w:rPr>
                    </w:pPr>
                    <w:r>
                      <w:rPr>
                        <w:rFonts w:ascii="Calibri"/>
                        <w:spacing w:val="-2"/>
                        <w:sz w:val="20"/>
                      </w:rPr>
                      <w:t>200</w:t>
                    </w:r>
                  </w:p>
                  <w:p>
                    <w:pPr>
                      <w:spacing w:line="243" w:lineRule="exact" w:before="0"/>
                      <w:ind w:left="0" w:right="0" w:firstLine="0"/>
                      <w:jc w:val="left"/>
                      <w:rPr>
                        <w:rFonts w:ascii="Calibri"/>
                        <w:sz w:val="20"/>
                      </w:rPr>
                    </w:pPr>
                    <w:r>
                      <w:rPr>
                        <w:rFonts w:ascii="Calibri"/>
                        <w:spacing w:val="-2"/>
                        <w:sz w:val="20"/>
                      </w:rPr>
                      <w:t>180</w:t>
                    </w:r>
                  </w:p>
                  <w:p>
                    <w:pPr>
                      <w:spacing w:line="243" w:lineRule="exact" w:before="0"/>
                      <w:ind w:left="0" w:right="0" w:firstLine="0"/>
                      <w:jc w:val="left"/>
                      <w:rPr>
                        <w:rFonts w:ascii="Calibri"/>
                        <w:sz w:val="20"/>
                      </w:rPr>
                    </w:pPr>
                    <w:r>
                      <w:rPr>
                        <w:rFonts w:ascii="Calibri"/>
                        <w:spacing w:val="-2"/>
                        <w:sz w:val="20"/>
                      </w:rPr>
                      <w:t>160</w:t>
                    </w:r>
                  </w:p>
                  <w:p>
                    <w:pPr>
                      <w:spacing w:line="243" w:lineRule="exact" w:before="0"/>
                      <w:ind w:left="0" w:right="0" w:firstLine="0"/>
                      <w:jc w:val="left"/>
                      <w:rPr>
                        <w:rFonts w:ascii="Calibri"/>
                        <w:sz w:val="20"/>
                      </w:rPr>
                    </w:pPr>
                    <w:r>
                      <w:rPr>
                        <w:rFonts w:ascii="Calibri"/>
                        <w:spacing w:val="-2"/>
                        <w:sz w:val="20"/>
                      </w:rPr>
                      <w:t>140</w:t>
                    </w:r>
                  </w:p>
                  <w:p>
                    <w:pPr>
                      <w:spacing w:line="243" w:lineRule="exact" w:before="0"/>
                      <w:ind w:left="0" w:right="0" w:firstLine="0"/>
                      <w:jc w:val="left"/>
                      <w:rPr>
                        <w:rFonts w:ascii="Calibri"/>
                        <w:sz w:val="20"/>
                      </w:rPr>
                    </w:pPr>
                    <w:r>
                      <w:rPr>
                        <w:rFonts w:ascii="Calibri"/>
                        <w:spacing w:val="-2"/>
                        <w:sz w:val="20"/>
                      </w:rPr>
                      <w:t>120</w:t>
                    </w:r>
                  </w:p>
                  <w:p>
                    <w:pPr>
                      <w:spacing w:line="243" w:lineRule="exact" w:before="0"/>
                      <w:ind w:left="0" w:right="0" w:firstLine="0"/>
                      <w:jc w:val="left"/>
                      <w:rPr>
                        <w:rFonts w:ascii="Calibri"/>
                        <w:sz w:val="20"/>
                      </w:rPr>
                    </w:pPr>
                    <w:r>
                      <w:rPr>
                        <w:rFonts w:ascii="Calibri"/>
                        <w:spacing w:val="-2"/>
                        <w:sz w:val="20"/>
                      </w:rPr>
                      <w:t>100</w:t>
                    </w:r>
                  </w:p>
                  <w:p>
                    <w:pPr>
                      <w:spacing w:line="243" w:lineRule="exact" w:before="0"/>
                      <w:ind w:left="76" w:right="2" w:firstLine="0"/>
                      <w:jc w:val="center"/>
                      <w:rPr>
                        <w:rFonts w:ascii="Calibri"/>
                        <w:sz w:val="20"/>
                      </w:rPr>
                    </w:pPr>
                    <w:r>
                      <w:rPr>
                        <w:rFonts w:ascii="Calibri"/>
                        <w:sz w:val="20"/>
                      </w:rPr>
                      <w:t>80</w:t>
                    </w:r>
                  </w:p>
                  <w:p>
                    <w:pPr>
                      <w:spacing w:line="243" w:lineRule="exact" w:before="0"/>
                      <w:ind w:left="76" w:right="2" w:firstLine="0"/>
                      <w:jc w:val="center"/>
                      <w:rPr>
                        <w:rFonts w:ascii="Calibri"/>
                        <w:sz w:val="20"/>
                      </w:rPr>
                    </w:pPr>
                    <w:r>
                      <w:rPr>
                        <w:rFonts w:ascii="Calibri"/>
                        <w:sz w:val="20"/>
                      </w:rPr>
                      <w:t>60</w:t>
                    </w:r>
                  </w:p>
                  <w:p>
                    <w:pPr>
                      <w:spacing w:line="243" w:lineRule="exact" w:before="0"/>
                      <w:ind w:left="76" w:right="2" w:firstLine="0"/>
                      <w:jc w:val="center"/>
                      <w:rPr>
                        <w:rFonts w:ascii="Calibri"/>
                        <w:sz w:val="20"/>
                      </w:rPr>
                    </w:pPr>
                    <w:r>
                      <w:rPr>
                        <w:rFonts w:ascii="Calibri"/>
                        <w:sz w:val="20"/>
                      </w:rPr>
                      <w:t>40</w:t>
                    </w:r>
                  </w:p>
                  <w:p>
                    <w:pPr>
                      <w:spacing w:line="243" w:lineRule="exact" w:before="0"/>
                      <w:ind w:left="76" w:right="2" w:firstLine="0"/>
                      <w:jc w:val="center"/>
                      <w:rPr>
                        <w:rFonts w:ascii="Calibri"/>
                        <w:sz w:val="20"/>
                      </w:rPr>
                    </w:pPr>
                    <w:r>
                      <w:rPr>
                        <w:rFonts w:ascii="Calibri"/>
                        <w:sz w:val="20"/>
                      </w:rPr>
                      <w:t>20</w:t>
                    </w:r>
                  </w:p>
                  <w:p>
                    <w:pPr>
                      <w:spacing w:line="240" w:lineRule="exact" w:before="0"/>
                      <w:ind w:left="181" w:right="0" w:firstLine="0"/>
                      <w:jc w:val="center"/>
                      <w:rPr>
                        <w:rFonts w:ascii="Calibri"/>
                        <w:sz w:val="20"/>
                      </w:rPr>
                    </w:pPr>
                    <w:r>
                      <w:rPr>
                        <w:rFonts w:ascii="Calibri"/>
                        <w:sz w:val="20"/>
                      </w:rPr>
                      <w:t>0</w:t>
                    </w:r>
                  </w:p>
                </w:txbxContent>
              </v:textbox>
              <w10:wrap type="none"/>
            </v:shape>
            <w10:wrap type="none"/>
          </v:group>
        </w:pict>
      </w:r>
      <w:r>
        <w:rPr/>
        <w:pict>
          <v:shape style="position:absolute;margin-left:95.984802pt;margin-top:-166.649094pt;width:12pt;height:130pt;mso-position-horizontal-relative:page;mso-position-vertical-relative:paragraph;z-index:8752" type="#_x0000_t202" filled="false" stroked="false">
            <v:textbox inset="0,0,0,0" style="layout-flow:vertical;mso-layout-flow-alt:bottom-to-top">
              <w:txbxContent>
                <w:p>
                  <w:pPr>
                    <w:spacing w:line="224" w:lineRule="exact" w:before="0"/>
                    <w:ind w:left="20" w:right="0" w:firstLine="0"/>
                    <w:jc w:val="left"/>
                    <w:rPr>
                      <w:rFonts w:ascii="Calibri" w:hAnsi="Calibri"/>
                      <w:b/>
                      <w:sz w:val="20"/>
                    </w:rPr>
                  </w:pPr>
                  <w:r>
                    <w:rPr>
                      <w:rFonts w:ascii="Calibri" w:hAnsi="Calibri"/>
                      <w:b/>
                      <w:sz w:val="20"/>
                    </w:rPr>
                    <w:t>Coliformes Fécaux(UFC/100ml)</w:t>
                  </w:r>
                </w:p>
              </w:txbxContent>
            </v:textbox>
            <w10:wrap type="none"/>
          </v:shape>
        </w:pict>
      </w:r>
      <w:r>
        <w:rPr>
          <w:b/>
        </w:rPr>
        <w:t>Figure 28: </w:t>
      </w:r>
      <w:r>
        <w:rPr/>
        <w:t>Évolution temporelle de coliformes fécaux des eaux de sources.</w:t>
      </w:r>
    </w:p>
    <w:p>
      <w:pPr>
        <w:pStyle w:val="BodyText"/>
        <w:rPr>
          <w:sz w:val="26"/>
        </w:rPr>
      </w:pPr>
    </w:p>
    <w:p>
      <w:pPr>
        <w:pStyle w:val="BodyText"/>
        <w:rPr>
          <w:sz w:val="26"/>
        </w:rPr>
      </w:pPr>
    </w:p>
    <w:p>
      <w:pPr>
        <w:pStyle w:val="Heading4"/>
        <w:numPr>
          <w:ilvl w:val="2"/>
          <w:numId w:val="29"/>
        </w:numPr>
        <w:tabs>
          <w:tab w:pos="1419" w:val="left" w:leader="none"/>
        </w:tabs>
        <w:spacing w:line="240" w:lineRule="auto" w:before="166" w:after="0"/>
        <w:ind w:left="1418" w:right="0" w:hanging="743"/>
        <w:jc w:val="left"/>
      </w:pPr>
      <w:bookmarkStart w:name="_TOC_250002" w:id="79"/>
      <w:r>
        <w:rPr/>
        <w:t>Les Streptocoques fécaux</w:t>
      </w:r>
      <w:r>
        <w:rPr>
          <w:spacing w:val="-6"/>
        </w:rPr>
        <w:t> </w:t>
      </w:r>
      <w:bookmarkEnd w:id="79"/>
      <w:r>
        <w:rPr/>
        <w:t>:</w:t>
      </w:r>
    </w:p>
    <w:p>
      <w:pPr>
        <w:pStyle w:val="BodyText"/>
        <w:spacing w:before="5"/>
        <w:rPr>
          <w:b/>
          <w:sz w:val="20"/>
        </w:rPr>
      </w:pPr>
    </w:p>
    <w:p>
      <w:pPr>
        <w:pStyle w:val="BodyText"/>
        <w:spacing w:line="276" w:lineRule="auto" w:before="1"/>
        <w:ind w:left="675" w:right="1409" w:firstLine="707"/>
        <w:jc w:val="both"/>
      </w:pPr>
      <w:r>
        <w:rPr/>
        <w:t>Les streptocoques sont susceptibles de contaminer les eaux d’approvisionnement, ils sont typiques des déjections animales. Ils peuvent parfois être présents chez l’homme ou dans les végétaux. (Bitton, 1999).</w:t>
      </w:r>
    </w:p>
    <w:p>
      <w:pPr>
        <w:pStyle w:val="BodyText"/>
        <w:spacing w:line="276" w:lineRule="auto" w:before="199"/>
        <w:ind w:left="675" w:right="1410" w:firstLine="707"/>
        <w:jc w:val="both"/>
      </w:pPr>
      <w:r>
        <w:rPr/>
        <w:t>Le dénombrement des streptocoques (Figure 29) montre que la source SAD est très chargé en streptocoques fécaux et représente un nombre égal à 100UFC/100 ml pendant le mois d’avril et 40UFC/100 ml pendant le mois de mars. La source SABZ (8 UFC/100 ml pendant le mois de février), SBWC (2 UFC/100 ml pendant le mois de février) et SAG (2 UFC/100 ml pendant le mois d’avril).</w:t>
      </w:r>
    </w:p>
    <w:p>
      <w:pPr>
        <w:pStyle w:val="BodyText"/>
        <w:spacing w:line="273" w:lineRule="auto" w:before="200"/>
        <w:ind w:left="675" w:right="1413" w:firstLine="767"/>
        <w:jc w:val="both"/>
      </w:pPr>
      <w:r>
        <w:rPr/>
        <w:t>Par contre, les sources SAA, SBG durant les trois mois d’étude sont conformes à la norme de potabilité avec un nombre nul des streptocoques fécaux.</w:t>
      </w:r>
    </w:p>
    <w:p>
      <w:pPr>
        <w:spacing w:after="0" w:line="273" w:lineRule="auto"/>
        <w:jc w:val="both"/>
        <w:sectPr>
          <w:pgSz w:w="11900" w:h="16840"/>
          <w:pgMar w:header="727" w:footer="1061" w:top="1180" w:bottom="1260" w:left="74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0"/>
        </w:rPr>
      </w:pPr>
    </w:p>
    <w:p>
      <w:pPr>
        <w:pStyle w:val="BodyText"/>
        <w:spacing w:before="90"/>
        <w:ind w:left="1095"/>
      </w:pPr>
      <w:r>
        <w:rPr/>
        <w:pict>
          <v:group style="position:absolute;margin-left:71.850334pt;margin-top:-224.271667pt;width:431.5pt;height:217pt;mso-position-horizontal-relative:page;mso-position-vertical-relative:paragraph;z-index:8920" coordorigin="1437,-4485" coordsize="8630,4340">
            <v:shape style="position:absolute;left:2662;top:-4243;width:6059;height:3015" type="#_x0000_t75" stroked="false">
              <v:imagedata r:id="rId138" o:title=""/>
            </v:shape>
            <v:shape style="position:absolute;left:2635;top:-4108;width:5918;height:2905" coordorigin="2635,-4107" coordsize="5918,2905" path="m2697,-1259l2633,-1259m2697,-1543l2633,-1543m2697,-1827l2633,-1827m2697,-2111l2633,-2111m2697,-2395l2633,-2395m2697,-2679l2633,-2679m2697,-2962l2633,-2962m2697,-3246l2633,-3246m2697,-3530l2633,-3530m2697,-3814l2633,-3814m2697,-4098l2633,-4098m2697,-1259l2697,-1195m3673,-1259l3673,-1195m4648,-1259l4648,-1195m5623,-1259l5623,-1195m6599,-1259l6599,-1195m7570,-1259l7570,-1195m8546,-1259l8546,-1195e" filled="false" stroked="true" strokeweight=".999328pt" strokecolor="#858585">
              <v:path arrowok="t"/>
              <v:stroke dashstyle="solid"/>
            </v:shape>
            <v:rect style="position:absolute;left:3701;top:-4131;width:110;height:110" filled="true" fillcolor="#70578f" stroked="false">
              <v:fill type="solid"/>
            </v:rect>
            <v:rect style="position:absolute;left:5399;top:-4131;width:110;height:110" filled="true" fillcolor="#4197ae" stroked="false">
              <v:fill type="solid"/>
            </v:rect>
            <v:rect style="position:absolute;left:6946;top:-4131;width:110;height:110" filled="true" fillcolor="#db843c" stroked="false">
              <v:fill type="solid"/>
            </v:rect>
            <v:rect style="position:absolute;left:1446;top:-4466;width:8605;height:4318" filled="false" stroked="true" strokeweight=".999328pt" strokecolor="#858585">
              <v:stroke dashstyle="solid"/>
            </v:rect>
            <v:shape style="position:absolute;left:3022;top:-1031;width:5222;height:599" type="#_x0000_t202" filled="false" stroked="false">
              <v:textbox inset="0,0,0,0">
                <w:txbxContent>
                  <w:p>
                    <w:pPr>
                      <w:tabs>
                        <w:tab w:pos="935" w:val="left" w:leader="none"/>
                        <w:tab w:pos="1870" w:val="left" w:leader="none"/>
                        <w:tab w:pos="2921" w:val="left" w:leader="none"/>
                        <w:tab w:pos="3896" w:val="left" w:leader="none"/>
                        <w:tab w:pos="4876" w:val="left" w:leader="none"/>
                      </w:tabs>
                      <w:spacing w:line="204" w:lineRule="exact" w:before="0"/>
                      <w:ind w:left="0" w:right="18" w:firstLine="0"/>
                      <w:jc w:val="center"/>
                      <w:rPr>
                        <w:rFonts w:ascii="Calibri"/>
                        <w:sz w:val="20"/>
                      </w:rPr>
                    </w:pPr>
                    <w:r>
                      <w:rPr>
                        <w:rFonts w:ascii="Calibri"/>
                        <w:sz w:val="20"/>
                      </w:rPr>
                      <w:t>SAA</w:t>
                      <w:tab/>
                      <w:t>SABZ</w:t>
                      <w:tab/>
                      <w:t>SBWC</w:t>
                      <w:tab/>
                      <w:t>SAD</w:t>
                      <w:tab/>
                      <w:t>SAG</w:t>
                      <w:tab/>
                    </w:r>
                    <w:r>
                      <w:rPr>
                        <w:rFonts w:ascii="Calibri"/>
                        <w:spacing w:val="-9"/>
                        <w:sz w:val="20"/>
                      </w:rPr>
                      <w:t>SBG</w:t>
                    </w:r>
                  </w:p>
                  <w:p>
                    <w:pPr>
                      <w:spacing w:line="240" w:lineRule="exact" w:before="154"/>
                      <w:ind w:left="0" w:right="16" w:firstLine="0"/>
                      <w:jc w:val="center"/>
                      <w:rPr>
                        <w:rFonts w:ascii="Calibri"/>
                        <w:b/>
                        <w:sz w:val="20"/>
                      </w:rPr>
                    </w:pPr>
                    <w:r>
                      <w:rPr>
                        <w:rFonts w:ascii="Calibri"/>
                        <w:b/>
                        <w:sz w:val="20"/>
                      </w:rPr>
                      <w:t>Sources</w:t>
                    </w:r>
                  </w:p>
                </w:txbxContent>
              </v:textbox>
              <w10:wrap type="none"/>
            </v:shape>
            <v:shape style="position:absolute;left:7105;top:-4167;width:386;height:200" type="#_x0000_t202" filled="false" stroked="false">
              <v:textbox inset="0,0,0,0">
                <w:txbxContent>
                  <w:p>
                    <w:pPr>
                      <w:spacing w:line="200" w:lineRule="exact" w:before="0"/>
                      <w:ind w:left="0" w:right="0" w:firstLine="0"/>
                      <w:jc w:val="left"/>
                      <w:rPr>
                        <w:rFonts w:ascii="Calibri"/>
                        <w:sz w:val="20"/>
                      </w:rPr>
                    </w:pPr>
                    <w:r>
                      <w:rPr>
                        <w:rFonts w:ascii="Calibri"/>
                        <w:sz w:val="20"/>
                      </w:rPr>
                      <w:t>Avril</w:t>
                    </w:r>
                  </w:p>
                </w:txbxContent>
              </v:textbox>
              <w10:wrap type="none"/>
            </v:shape>
            <v:shape style="position:absolute;left:5558;top:-4167;width:434;height:200" type="#_x0000_t202" filled="false" stroked="false">
              <v:textbox inset="0,0,0,0">
                <w:txbxContent>
                  <w:p>
                    <w:pPr>
                      <w:spacing w:line="200" w:lineRule="exact" w:before="0"/>
                      <w:ind w:left="0" w:right="0" w:firstLine="0"/>
                      <w:jc w:val="left"/>
                      <w:rPr>
                        <w:rFonts w:ascii="Calibri"/>
                        <w:sz w:val="20"/>
                      </w:rPr>
                    </w:pPr>
                    <w:r>
                      <w:rPr>
                        <w:rFonts w:ascii="Calibri"/>
                        <w:sz w:val="20"/>
                      </w:rPr>
                      <w:t>Mars</w:t>
                    </w:r>
                  </w:p>
                </w:txbxContent>
              </v:textbox>
              <w10:wrap type="none"/>
            </v:shape>
            <v:shape style="position:absolute;left:3859;top:-4167;width:585;height:200" type="#_x0000_t202" filled="false" stroked="false">
              <v:textbox inset="0,0,0,0">
                <w:txbxContent>
                  <w:p>
                    <w:pPr>
                      <w:spacing w:line="200" w:lineRule="exact" w:before="0"/>
                      <w:ind w:left="0" w:right="0" w:firstLine="0"/>
                      <w:jc w:val="left"/>
                      <w:rPr>
                        <w:rFonts w:ascii="Calibri" w:hAnsi="Calibri"/>
                        <w:sz w:val="20"/>
                      </w:rPr>
                    </w:pPr>
                    <w:r>
                      <w:rPr>
                        <w:rFonts w:ascii="Calibri" w:hAnsi="Calibri"/>
                        <w:sz w:val="20"/>
                      </w:rPr>
                      <w:t>Février</w:t>
                    </w:r>
                  </w:p>
                </w:txbxContent>
              </v:textbox>
              <w10:wrap type="none"/>
            </v:shape>
            <v:shape style="position:absolute;left:2210;top:-4179;width:323;height:3040" type="#_x0000_t202" filled="false" stroked="false">
              <v:textbox inset="0,0,0,0">
                <w:txbxContent>
                  <w:p>
                    <w:pPr>
                      <w:spacing w:line="204" w:lineRule="exact" w:before="0"/>
                      <w:ind w:left="0" w:right="0" w:firstLine="0"/>
                      <w:jc w:val="left"/>
                      <w:rPr>
                        <w:rFonts w:ascii="Calibri"/>
                        <w:sz w:val="20"/>
                      </w:rPr>
                    </w:pPr>
                    <w:r>
                      <w:rPr>
                        <w:rFonts w:ascii="Calibri"/>
                        <w:spacing w:val="-2"/>
                        <w:sz w:val="20"/>
                      </w:rPr>
                      <w:t>100</w:t>
                    </w:r>
                  </w:p>
                  <w:p>
                    <w:pPr>
                      <w:spacing w:before="40"/>
                      <w:ind w:left="76" w:right="2" w:firstLine="0"/>
                      <w:jc w:val="center"/>
                      <w:rPr>
                        <w:rFonts w:ascii="Calibri"/>
                        <w:sz w:val="20"/>
                      </w:rPr>
                    </w:pPr>
                    <w:r>
                      <w:rPr>
                        <w:rFonts w:ascii="Calibri"/>
                        <w:sz w:val="20"/>
                      </w:rPr>
                      <w:t>90</w:t>
                    </w:r>
                  </w:p>
                  <w:p>
                    <w:pPr>
                      <w:spacing w:before="40"/>
                      <w:ind w:left="76" w:right="2" w:firstLine="0"/>
                      <w:jc w:val="center"/>
                      <w:rPr>
                        <w:rFonts w:ascii="Calibri"/>
                        <w:sz w:val="20"/>
                      </w:rPr>
                    </w:pPr>
                    <w:r>
                      <w:rPr>
                        <w:rFonts w:ascii="Calibri"/>
                        <w:sz w:val="20"/>
                      </w:rPr>
                      <w:t>80</w:t>
                    </w:r>
                  </w:p>
                  <w:p>
                    <w:pPr>
                      <w:spacing w:before="39"/>
                      <w:ind w:left="76" w:right="2" w:firstLine="0"/>
                      <w:jc w:val="center"/>
                      <w:rPr>
                        <w:rFonts w:ascii="Calibri"/>
                        <w:sz w:val="20"/>
                      </w:rPr>
                    </w:pPr>
                    <w:r>
                      <w:rPr>
                        <w:rFonts w:ascii="Calibri"/>
                        <w:sz w:val="20"/>
                      </w:rPr>
                      <w:t>70</w:t>
                    </w:r>
                  </w:p>
                  <w:p>
                    <w:pPr>
                      <w:spacing w:before="40"/>
                      <w:ind w:left="76" w:right="2" w:firstLine="0"/>
                      <w:jc w:val="center"/>
                      <w:rPr>
                        <w:rFonts w:ascii="Calibri"/>
                        <w:sz w:val="20"/>
                      </w:rPr>
                    </w:pPr>
                    <w:r>
                      <w:rPr>
                        <w:rFonts w:ascii="Calibri"/>
                        <w:sz w:val="20"/>
                      </w:rPr>
                      <w:t>60</w:t>
                    </w:r>
                  </w:p>
                  <w:p>
                    <w:pPr>
                      <w:spacing w:before="40"/>
                      <w:ind w:left="76" w:right="2" w:firstLine="0"/>
                      <w:jc w:val="center"/>
                      <w:rPr>
                        <w:rFonts w:ascii="Calibri"/>
                        <w:sz w:val="20"/>
                      </w:rPr>
                    </w:pPr>
                    <w:r>
                      <w:rPr>
                        <w:rFonts w:ascii="Calibri"/>
                        <w:sz w:val="20"/>
                      </w:rPr>
                      <w:t>50</w:t>
                    </w:r>
                  </w:p>
                  <w:p>
                    <w:pPr>
                      <w:spacing w:before="40"/>
                      <w:ind w:left="76" w:right="2" w:firstLine="0"/>
                      <w:jc w:val="center"/>
                      <w:rPr>
                        <w:rFonts w:ascii="Calibri"/>
                        <w:sz w:val="20"/>
                      </w:rPr>
                    </w:pPr>
                    <w:r>
                      <w:rPr>
                        <w:rFonts w:ascii="Calibri"/>
                        <w:sz w:val="20"/>
                      </w:rPr>
                      <w:t>40</w:t>
                    </w:r>
                  </w:p>
                  <w:p>
                    <w:pPr>
                      <w:spacing w:before="40"/>
                      <w:ind w:left="76" w:right="2" w:firstLine="0"/>
                      <w:jc w:val="center"/>
                      <w:rPr>
                        <w:rFonts w:ascii="Calibri"/>
                        <w:sz w:val="20"/>
                      </w:rPr>
                    </w:pPr>
                    <w:r>
                      <w:rPr>
                        <w:rFonts w:ascii="Calibri"/>
                        <w:sz w:val="20"/>
                      </w:rPr>
                      <w:t>30</w:t>
                    </w:r>
                  </w:p>
                  <w:p>
                    <w:pPr>
                      <w:spacing w:before="40"/>
                      <w:ind w:left="76" w:right="2" w:firstLine="0"/>
                      <w:jc w:val="center"/>
                      <w:rPr>
                        <w:rFonts w:ascii="Calibri"/>
                        <w:sz w:val="20"/>
                      </w:rPr>
                    </w:pPr>
                    <w:r>
                      <w:rPr>
                        <w:rFonts w:ascii="Calibri"/>
                        <w:sz w:val="20"/>
                      </w:rPr>
                      <w:t>20</w:t>
                    </w:r>
                  </w:p>
                  <w:p>
                    <w:pPr>
                      <w:spacing w:before="40"/>
                      <w:ind w:left="76" w:right="2" w:firstLine="0"/>
                      <w:jc w:val="center"/>
                      <w:rPr>
                        <w:rFonts w:ascii="Calibri"/>
                        <w:sz w:val="20"/>
                      </w:rPr>
                    </w:pPr>
                    <w:r>
                      <w:rPr>
                        <w:rFonts w:ascii="Calibri"/>
                        <w:sz w:val="20"/>
                      </w:rPr>
                      <w:t>10</w:t>
                    </w:r>
                  </w:p>
                  <w:p>
                    <w:pPr>
                      <w:spacing w:line="240" w:lineRule="exact" w:before="39"/>
                      <w:ind w:left="181" w:right="0" w:firstLine="0"/>
                      <w:jc w:val="center"/>
                      <w:rPr>
                        <w:rFonts w:ascii="Calibri"/>
                        <w:sz w:val="20"/>
                      </w:rPr>
                    </w:pPr>
                    <w:r>
                      <w:rPr>
                        <w:rFonts w:ascii="Calibri"/>
                        <w:sz w:val="20"/>
                      </w:rPr>
                      <w:t>0</w:t>
                    </w:r>
                  </w:p>
                </w:txbxContent>
              </v:textbox>
              <w10:wrap type="none"/>
            </v:shape>
            <w10:wrap type="none"/>
          </v:group>
        </w:pict>
      </w:r>
      <w:r>
        <w:rPr/>
        <w:pict>
          <v:shape style="position:absolute;margin-left:91.262978pt;margin-top:-207.168106pt;width:12pt;height:144.1pt;mso-position-horizontal-relative:page;mso-position-vertical-relative:paragraph;z-index:8944" type="#_x0000_t202" filled="false" stroked="false">
            <v:textbox inset="0,0,0,0" style="layout-flow:vertical;mso-layout-flow-alt:bottom-to-top">
              <w:txbxContent>
                <w:p>
                  <w:pPr>
                    <w:spacing w:line="224" w:lineRule="exact" w:before="0"/>
                    <w:ind w:left="20" w:right="0" w:firstLine="0"/>
                    <w:jc w:val="left"/>
                    <w:rPr>
                      <w:rFonts w:ascii="Calibri" w:hAnsi="Calibri"/>
                      <w:b/>
                      <w:sz w:val="20"/>
                    </w:rPr>
                  </w:pPr>
                  <w:r>
                    <w:rPr>
                      <w:rFonts w:ascii="Calibri" w:hAnsi="Calibri"/>
                      <w:b/>
                      <w:sz w:val="20"/>
                    </w:rPr>
                    <w:t>Streptocoques fécaux(UFC/100ml)</w:t>
                  </w:r>
                </w:p>
              </w:txbxContent>
            </v:textbox>
            <w10:wrap type="none"/>
          </v:shape>
        </w:pict>
      </w:r>
      <w:r>
        <w:rPr>
          <w:b/>
        </w:rPr>
        <w:t>Figure 29: </w:t>
      </w:r>
      <w:r>
        <w:rPr/>
        <w:t>Évolution temporelle de Streptocoques fécaux des eaux de sources.</w:t>
      </w:r>
    </w:p>
    <w:p>
      <w:pPr>
        <w:pStyle w:val="BodyText"/>
        <w:spacing w:before="2"/>
        <w:rPr>
          <w:sz w:val="21"/>
        </w:rPr>
      </w:pPr>
    </w:p>
    <w:p>
      <w:pPr>
        <w:pStyle w:val="Heading4"/>
        <w:numPr>
          <w:ilvl w:val="2"/>
          <w:numId w:val="29"/>
        </w:numPr>
        <w:tabs>
          <w:tab w:pos="1419" w:val="left" w:leader="none"/>
        </w:tabs>
        <w:spacing w:line="240" w:lineRule="auto" w:before="0" w:after="0"/>
        <w:ind w:left="1418" w:right="0" w:hanging="743"/>
        <w:jc w:val="left"/>
      </w:pPr>
      <w:bookmarkStart w:name="_TOC_250001" w:id="80"/>
      <w:r>
        <w:rPr/>
        <w:t>Les anaérobies sulfito-réducteur (ASR)</w:t>
      </w:r>
      <w:r>
        <w:rPr>
          <w:spacing w:val="5"/>
        </w:rPr>
        <w:t> </w:t>
      </w:r>
      <w:bookmarkEnd w:id="80"/>
      <w:r>
        <w:rPr/>
        <w:t>:</w:t>
      </w:r>
    </w:p>
    <w:p>
      <w:pPr>
        <w:pStyle w:val="BodyText"/>
        <w:spacing w:before="10"/>
        <w:rPr>
          <w:b/>
          <w:sz w:val="20"/>
        </w:rPr>
      </w:pPr>
    </w:p>
    <w:p>
      <w:pPr>
        <w:pStyle w:val="BodyText"/>
        <w:spacing w:line="273" w:lineRule="auto"/>
        <w:ind w:left="675" w:right="1410" w:firstLine="707"/>
        <w:jc w:val="both"/>
      </w:pPr>
      <w:r>
        <w:rPr/>
        <w:t>Les spores des ASR constituent généralement des indices d’une ancienne contamination, dont les résultats négatifs déduisent l’absence du genre Sulfito-réducteurs responsable du botulisme et du tétanos. (Henze et </w:t>
      </w:r>
      <w:r>
        <w:rPr>
          <w:i/>
        </w:rPr>
        <w:t>al</w:t>
      </w:r>
      <w:r>
        <w:rPr/>
        <w:t>, 2008).</w:t>
      </w:r>
    </w:p>
    <w:p>
      <w:pPr>
        <w:pStyle w:val="BodyText"/>
        <w:spacing w:before="208"/>
        <w:ind w:left="675"/>
      </w:pPr>
      <w:r>
        <w:rPr/>
        <w:t>Les résultats obtenus à partir des 06 sources échantillonnées sont résumés dans le tableau 06.</w:t>
      </w:r>
    </w:p>
    <w:p>
      <w:pPr>
        <w:pStyle w:val="BodyText"/>
        <w:spacing w:before="9"/>
        <w:rPr>
          <w:sz w:val="20"/>
        </w:rPr>
      </w:pPr>
    </w:p>
    <w:p>
      <w:pPr>
        <w:spacing w:before="0"/>
        <w:ind w:left="1275" w:right="0" w:firstLine="0"/>
        <w:jc w:val="left"/>
        <w:rPr>
          <w:b/>
          <w:sz w:val="24"/>
        </w:rPr>
      </w:pPr>
      <w:r>
        <w:rPr/>
        <w:pict>
          <v:line style="position:absolute;mso-position-horizontal-relative:page;mso-position-vertical-relative:paragraph;z-index:-128776" from="133.160485pt,26.822629pt" to="65.38105pt,54.803819pt" stroked="true" strokeweight=".399731pt" strokecolor="#000000">
            <v:stroke dashstyle="solid"/>
            <w10:wrap type="none"/>
          </v:line>
        </w:pict>
      </w:r>
      <w:r>
        <w:rPr>
          <w:b/>
          <w:sz w:val="24"/>
        </w:rPr>
        <w:t>Tableau 06 : </w:t>
      </w:r>
      <w:r>
        <w:rPr>
          <w:sz w:val="24"/>
        </w:rPr>
        <w:t>Dénombrement des anaérobies sulfito-réducteur (ASR)</w:t>
      </w:r>
      <w:r>
        <w:rPr>
          <w:b/>
          <w:sz w:val="24"/>
        </w:rPr>
        <w:t>.</w:t>
      </w:r>
    </w:p>
    <w:p>
      <w:pPr>
        <w:pStyle w:val="BodyText"/>
        <w:spacing w:before="2"/>
        <w:rPr>
          <w:b/>
          <w:sz w:val="21"/>
        </w:rPr>
      </w:pPr>
    </w:p>
    <w:tbl>
      <w:tblPr>
        <w:tblW w:w="0" w:type="auto"/>
        <w:jc w:val="left"/>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56"/>
        <w:gridCol w:w="1352"/>
        <w:gridCol w:w="1355"/>
        <w:gridCol w:w="1351"/>
        <w:gridCol w:w="1355"/>
        <w:gridCol w:w="1351"/>
        <w:gridCol w:w="1355"/>
      </w:tblGrid>
      <w:tr>
        <w:trPr>
          <w:trHeight w:val="566" w:hRule="atLeast"/>
        </w:trPr>
        <w:tc>
          <w:tcPr>
            <w:tcW w:w="1356" w:type="dxa"/>
          </w:tcPr>
          <w:p>
            <w:pPr>
              <w:pStyle w:val="TableParagraph"/>
              <w:spacing w:line="272" w:lineRule="exact"/>
              <w:rPr>
                <w:sz w:val="24"/>
              </w:rPr>
            </w:pPr>
            <w:r>
              <w:rPr>
                <w:sz w:val="24"/>
              </w:rPr>
              <w:t>Source</w:t>
            </w:r>
          </w:p>
          <w:p>
            <w:pPr>
              <w:pStyle w:val="TableParagraph"/>
              <w:spacing w:line="274" w:lineRule="exact"/>
              <w:ind w:left="585"/>
              <w:rPr>
                <w:sz w:val="24"/>
              </w:rPr>
            </w:pPr>
            <w:r>
              <w:rPr>
                <w:sz w:val="24"/>
              </w:rPr>
              <w:t>Mois</w:t>
            </w:r>
          </w:p>
        </w:tc>
        <w:tc>
          <w:tcPr>
            <w:tcW w:w="1352" w:type="dxa"/>
          </w:tcPr>
          <w:p>
            <w:pPr>
              <w:pStyle w:val="TableParagraph"/>
              <w:spacing w:line="272" w:lineRule="exact"/>
              <w:ind w:left="105"/>
              <w:rPr>
                <w:sz w:val="24"/>
              </w:rPr>
            </w:pPr>
            <w:r>
              <w:rPr>
                <w:sz w:val="24"/>
              </w:rPr>
              <w:t>SAA</w:t>
            </w:r>
          </w:p>
        </w:tc>
        <w:tc>
          <w:tcPr>
            <w:tcW w:w="1355" w:type="dxa"/>
          </w:tcPr>
          <w:p>
            <w:pPr>
              <w:pStyle w:val="TableParagraph"/>
              <w:spacing w:line="272" w:lineRule="exact"/>
              <w:ind w:left="105"/>
              <w:rPr>
                <w:sz w:val="24"/>
              </w:rPr>
            </w:pPr>
            <w:r>
              <w:rPr>
                <w:sz w:val="24"/>
              </w:rPr>
              <w:t>SABZ</w:t>
            </w:r>
          </w:p>
        </w:tc>
        <w:tc>
          <w:tcPr>
            <w:tcW w:w="1351" w:type="dxa"/>
          </w:tcPr>
          <w:p>
            <w:pPr>
              <w:pStyle w:val="TableParagraph"/>
              <w:spacing w:line="272" w:lineRule="exact"/>
              <w:ind w:left="105"/>
              <w:rPr>
                <w:sz w:val="24"/>
              </w:rPr>
            </w:pPr>
            <w:r>
              <w:rPr>
                <w:sz w:val="24"/>
              </w:rPr>
              <w:t>SBWC</w:t>
            </w:r>
          </w:p>
        </w:tc>
        <w:tc>
          <w:tcPr>
            <w:tcW w:w="1355" w:type="dxa"/>
          </w:tcPr>
          <w:p>
            <w:pPr>
              <w:pStyle w:val="TableParagraph"/>
              <w:spacing w:line="272" w:lineRule="exact"/>
              <w:ind w:left="105"/>
              <w:rPr>
                <w:sz w:val="24"/>
              </w:rPr>
            </w:pPr>
            <w:r>
              <w:rPr>
                <w:sz w:val="24"/>
              </w:rPr>
              <w:t>SAD</w:t>
            </w:r>
          </w:p>
        </w:tc>
        <w:tc>
          <w:tcPr>
            <w:tcW w:w="1351" w:type="dxa"/>
          </w:tcPr>
          <w:p>
            <w:pPr>
              <w:pStyle w:val="TableParagraph"/>
              <w:spacing w:line="272" w:lineRule="exact"/>
              <w:rPr>
                <w:sz w:val="24"/>
              </w:rPr>
            </w:pPr>
            <w:r>
              <w:rPr>
                <w:sz w:val="24"/>
              </w:rPr>
              <w:t>SAG</w:t>
            </w:r>
          </w:p>
        </w:tc>
        <w:tc>
          <w:tcPr>
            <w:tcW w:w="1355" w:type="dxa"/>
          </w:tcPr>
          <w:p>
            <w:pPr>
              <w:pStyle w:val="TableParagraph"/>
              <w:spacing w:line="272" w:lineRule="exact"/>
              <w:ind w:left="107"/>
              <w:rPr>
                <w:sz w:val="24"/>
              </w:rPr>
            </w:pPr>
            <w:r>
              <w:rPr>
                <w:sz w:val="24"/>
              </w:rPr>
              <w:t>SBG</w:t>
            </w:r>
          </w:p>
        </w:tc>
      </w:tr>
      <w:tr>
        <w:trPr>
          <w:trHeight w:val="565" w:hRule="atLeast"/>
        </w:trPr>
        <w:tc>
          <w:tcPr>
            <w:tcW w:w="1356" w:type="dxa"/>
          </w:tcPr>
          <w:p>
            <w:pPr>
              <w:pStyle w:val="TableParagraph"/>
              <w:spacing w:line="271" w:lineRule="exact"/>
              <w:rPr>
                <w:sz w:val="24"/>
              </w:rPr>
            </w:pPr>
            <w:r>
              <w:rPr>
                <w:sz w:val="24"/>
              </w:rPr>
              <w:t>Février</w:t>
            </w:r>
          </w:p>
        </w:tc>
        <w:tc>
          <w:tcPr>
            <w:tcW w:w="1352" w:type="dxa"/>
          </w:tcPr>
          <w:p>
            <w:pPr>
              <w:pStyle w:val="TableParagraph"/>
              <w:spacing w:line="271" w:lineRule="exact"/>
              <w:ind w:left="105"/>
              <w:rPr>
                <w:sz w:val="24"/>
              </w:rPr>
            </w:pPr>
            <w:r>
              <w:rPr>
                <w:sz w:val="24"/>
              </w:rPr>
              <w:t>0</w:t>
            </w:r>
          </w:p>
        </w:tc>
        <w:tc>
          <w:tcPr>
            <w:tcW w:w="1355" w:type="dxa"/>
          </w:tcPr>
          <w:p>
            <w:pPr>
              <w:pStyle w:val="TableParagraph"/>
              <w:spacing w:line="271" w:lineRule="exact"/>
              <w:ind w:left="105"/>
              <w:rPr>
                <w:sz w:val="24"/>
              </w:rPr>
            </w:pPr>
            <w:r>
              <w:rPr>
                <w:sz w:val="24"/>
              </w:rPr>
              <w:t>0</w:t>
            </w:r>
          </w:p>
        </w:tc>
        <w:tc>
          <w:tcPr>
            <w:tcW w:w="1351" w:type="dxa"/>
          </w:tcPr>
          <w:p>
            <w:pPr>
              <w:pStyle w:val="TableParagraph"/>
              <w:spacing w:line="271" w:lineRule="exact"/>
              <w:ind w:left="105"/>
              <w:rPr>
                <w:sz w:val="24"/>
              </w:rPr>
            </w:pPr>
            <w:r>
              <w:rPr>
                <w:sz w:val="24"/>
              </w:rPr>
              <w:t>0</w:t>
            </w:r>
          </w:p>
        </w:tc>
        <w:tc>
          <w:tcPr>
            <w:tcW w:w="1355" w:type="dxa"/>
          </w:tcPr>
          <w:p>
            <w:pPr>
              <w:pStyle w:val="TableParagraph"/>
              <w:spacing w:line="271" w:lineRule="exact"/>
              <w:ind w:left="105"/>
              <w:rPr>
                <w:sz w:val="24"/>
              </w:rPr>
            </w:pPr>
            <w:r>
              <w:rPr>
                <w:sz w:val="24"/>
              </w:rPr>
              <w:t>0</w:t>
            </w:r>
          </w:p>
        </w:tc>
        <w:tc>
          <w:tcPr>
            <w:tcW w:w="1351" w:type="dxa"/>
          </w:tcPr>
          <w:p>
            <w:pPr>
              <w:pStyle w:val="TableParagraph"/>
              <w:spacing w:line="271" w:lineRule="exact"/>
              <w:rPr>
                <w:sz w:val="24"/>
              </w:rPr>
            </w:pPr>
            <w:r>
              <w:rPr>
                <w:sz w:val="24"/>
              </w:rPr>
              <w:t>0</w:t>
            </w:r>
          </w:p>
        </w:tc>
        <w:tc>
          <w:tcPr>
            <w:tcW w:w="1355" w:type="dxa"/>
          </w:tcPr>
          <w:p>
            <w:pPr>
              <w:pStyle w:val="TableParagraph"/>
              <w:spacing w:line="271" w:lineRule="exact"/>
              <w:ind w:left="107"/>
              <w:rPr>
                <w:sz w:val="24"/>
              </w:rPr>
            </w:pPr>
            <w:r>
              <w:rPr>
                <w:sz w:val="24"/>
              </w:rPr>
              <w:t>0</w:t>
            </w:r>
          </w:p>
        </w:tc>
      </w:tr>
      <w:tr>
        <w:trPr>
          <w:trHeight w:val="566" w:hRule="atLeast"/>
        </w:trPr>
        <w:tc>
          <w:tcPr>
            <w:tcW w:w="1356" w:type="dxa"/>
          </w:tcPr>
          <w:p>
            <w:pPr>
              <w:pStyle w:val="TableParagraph"/>
              <w:spacing w:line="271" w:lineRule="exact"/>
              <w:rPr>
                <w:sz w:val="24"/>
              </w:rPr>
            </w:pPr>
            <w:r>
              <w:rPr>
                <w:sz w:val="24"/>
              </w:rPr>
              <w:t>Mars</w:t>
            </w:r>
          </w:p>
        </w:tc>
        <w:tc>
          <w:tcPr>
            <w:tcW w:w="1352" w:type="dxa"/>
          </w:tcPr>
          <w:p>
            <w:pPr>
              <w:pStyle w:val="TableParagraph"/>
              <w:spacing w:line="271" w:lineRule="exact"/>
              <w:ind w:left="105"/>
              <w:rPr>
                <w:sz w:val="24"/>
              </w:rPr>
            </w:pPr>
            <w:r>
              <w:rPr>
                <w:sz w:val="24"/>
              </w:rPr>
              <w:t>0</w:t>
            </w:r>
          </w:p>
        </w:tc>
        <w:tc>
          <w:tcPr>
            <w:tcW w:w="1355" w:type="dxa"/>
          </w:tcPr>
          <w:p>
            <w:pPr>
              <w:pStyle w:val="TableParagraph"/>
              <w:spacing w:line="271" w:lineRule="exact"/>
              <w:ind w:left="105"/>
              <w:rPr>
                <w:sz w:val="24"/>
              </w:rPr>
            </w:pPr>
            <w:r>
              <w:rPr>
                <w:sz w:val="24"/>
              </w:rPr>
              <w:t>0</w:t>
            </w:r>
          </w:p>
        </w:tc>
        <w:tc>
          <w:tcPr>
            <w:tcW w:w="1351" w:type="dxa"/>
          </w:tcPr>
          <w:p>
            <w:pPr>
              <w:pStyle w:val="TableParagraph"/>
              <w:spacing w:line="271" w:lineRule="exact"/>
              <w:ind w:left="105"/>
              <w:rPr>
                <w:sz w:val="24"/>
              </w:rPr>
            </w:pPr>
            <w:r>
              <w:rPr>
                <w:sz w:val="24"/>
              </w:rPr>
              <w:t>0</w:t>
            </w:r>
          </w:p>
        </w:tc>
        <w:tc>
          <w:tcPr>
            <w:tcW w:w="1355" w:type="dxa"/>
          </w:tcPr>
          <w:p>
            <w:pPr>
              <w:pStyle w:val="TableParagraph"/>
              <w:spacing w:line="271" w:lineRule="exact"/>
              <w:ind w:left="105"/>
              <w:rPr>
                <w:sz w:val="24"/>
              </w:rPr>
            </w:pPr>
            <w:r>
              <w:rPr>
                <w:sz w:val="24"/>
              </w:rPr>
              <w:t>0</w:t>
            </w:r>
          </w:p>
        </w:tc>
        <w:tc>
          <w:tcPr>
            <w:tcW w:w="1351" w:type="dxa"/>
          </w:tcPr>
          <w:p>
            <w:pPr>
              <w:pStyle w:val="TableParagraph"/>
              <w:spacing w:line="271" w:lineRule="exact"/>
              <w:rPr>
                <w:sz w:val="24"/>
              </w:rPr>
            </w:pPr>
            <w:r>
              <w:rPr>
                <w:sz w:val="24"/>
              </w:rPr>
              <w:t>0</w:t>
            </w:r>
          </w:p>
        </w:tc>
        <w:tc>
          <w:tcPr>
            <w:tcW w:w="1355" w:type="dxa"/>
          </w:tcPr>
          <w:p>
            <w:pPr>
              <w:pStyle w:val="TableParagraph"/>
              <w:spacing w:line="271" w:lineRule="exact"/>
              <w:ind w:left="107"/>
              <w:rPr>
                <w:sz w:val="24"/>
              </w:rPr>
            </w:pPr>
            <w:r>
              <w:rPr>
                <w:sz w:val="24"/>
              </w:rPr>
              <w:t>0</w:t>
            </w:r>
          </w:p>
        </w:tc>
      </w:tr>
      <w:tr>
        <w:trPr>
          <w:trHeight w:val="598" w:hRule="atLeast"/>
        </w:trPr>
        <w:tc>
          <w:tcPr>
            <w:tcW w:w="1356" w:type="dxa"/>
          </w:tcPr>
          <w:p>
            <w:pPr>
              <w:pStyle w:val="TableParagraph"/>
              <w:spacing w:line="271" w:lineRule="exact"/>
              <w:rPr>
                <w:sz w:val="24"/>
              </w:rPr>
            </w:pPr>
            <w:r>
              <w:rPr>
                <w:sz w:val="24"/>
              </w:rPr>
              <w:t>Avril</w:t>
            </w:r>
          </w:p>
        </w:tc>
        <w:tc>
          <w:tcPr>
            <w:tcW w:w="1352" w:type="dxa"/>
          </w:tcPr>
          <w:p>
            <w:pPr>
              <w:pStyle w:val="TableParagraph"/>
              <w:spacing w:line="271" w:lineRule="exact"/>
              <w:ind w:left="105"/>
              <w:rPr>
                <w:sz w:val="24"/>
              </w:rPr>
            </w:pPr>
            <w:r>
              <w:rPr>
                <w:sz w:val="24"/>
              </w:rPr>
              <w:t>0</w:t>
            </w:r>
          </w:p>
        </w:tc>
        <w:tc>
          <w:tcPr>
            <w:tcW w:w="1355" w:type="dxa"/>
          </w:tcPr>
          <w:p>
            <w:pPr>
              <w:pStyle w:val="TableParagraph"/>
              <w:spacing w:line="271" w:lineRule="exact"/>
              <w:ind w:left="105"/>
              <w:rPr>
                <w:sz w:val="24"/>
              </w:rPr>
            </w:pPr>
            <w:r>
              <w:rPr>
                <w:sz w:val="24"/>
              </w:rPr>
              <w:t>0</w:t>
            </w:r>
          </w:p>
        </w:tc>
        <w:tc>
          <w:tcPr>
            <w:tcW w:w="1351" w:type="dxa"/>
          </w:tcPr>
          <w:p>
            <w:pPr>
              <w:pStyle w:val="TableParagraph"/>
              <w:spacing w:line="271" w:lineRule="exact"/>
              <w:ind w:left="105"/>
              <w:rPr>
                <w:sz w:val="24"/>
              </w:rPr>
            </w:pPr>
            <w:r>
              <w:rPr>
                <w:sz w:val="24"/>
              </w:rPr>
              <w:t>0</w:t>
            </w:r>
          </w:p>
        </w:tc>
        <w:tc>
          <w:tcPr>
            <w:tcW w:w="1355" w:type="dxa"/>
          </w:tcPr>
          <w:p>
            <w:pPr>
              <w:pStyle w:val="TableParagraph"/>
              <w:spacing w:line="271" w:lineRule="exact"/>
              <w:ind w:left="105"/>
              <w:rPr>
                <w:sz w:val="24"/>
              </w:rPr>
            </w:pPr>
            <w:r>
              <w:rPr>
                <w:sz w:val="24"/>
              </w:rPr>
              <w:t>0</w:t>
            </w:r>
          </w:p>
        </w:tc>
        <w:tc>
          <w:tcPr>
            <w:tcW w:w="1351" w:type="dxa"/>
          </w:tcPr>
          <w:p>
            <w:pPr>
              <w:pStyle w:val="TableParagraph"/>
              <w:spacing w:line="271" w:lineRule="exact"/>
              <w:rPr>
                <w:sz w:val="24"/>
              </w:rPr>
            </w:pPr>
            <w:r>
              <w:rPr>
                <w:sz w:val="24"/>
              </w:rPr>
              <w:t>0</w:t>
            </w:r>
          </w:p>
        </w:tc>
        <w:tc>
          <w:tcPr>
            <w:tcW w:w="1355" w:type="dxa"/>
          </w:tcPr>
          <w:p>
            <w:pPr>
              <w:pStyle w:val="TableParagraph"/>
              <w:spacing w:line="271" w:lineRule="exact"/>
              <w:ind w:left="107"/>
              <w:rPr>
                <w:sz w:val="24"/>
              </w:rPr>
            </w:pPr>
            <w:r>
              <w:rPr>
                <w:sz w:val="24"/>
              </w:rPr>
              <w:t>0</w:t>
            </w:r>
          </w:p>
        </w:tc>
      </w:tr>
    </w:tbl>
    <w:p>
      <w:pPr>
        <w:pStyle w:val="BodyText"/>
        <w:rPr>
          <w:b/>
          <w:sz w:val="26"/>
        </w:rPr>
      </w:pPr>
    </w:p>
    <w:p>
      <w:pPr>
        <w:pStyle w:val="BodyText"/>
        <w:spacing w:line="276" w:lineRule="auto" w:before="215"/>
        <w:ind w:left="675" w:right="1418" w:firstLine="707"/>
        <w:jc w:val="both"/>
      </w:pPr>
      <w:r>
        <w:rPr/>
        <w:t>Nous avons noté l’absence totale des anaérobie sulfito-réducteurs durant la période d’étude au niveau de toutes les sources échantillonnées. Ces résultats sont conformes aux normes prescrites par l’OMS (2011) qui fixe une valeur nulle.</w:t>
      </w:r>
    </w:p>
    <w:p>
      <w:pPr>
        <w:spacing w:after="0" w:line="276" w:lineRule="auto"/>
        <w:jc w:val="both"/>
        <w:sectPr>
          <w:pgSz w:w="11900" w:h="16840"/>
          <w:pgMar w:header="727" w:footer="1061" w:top="1180" w:bottom="1260" w:left="74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p>
    <w:p>
      <w:pPr>
        <w:pStyle w:val="Heading2"/>
        <w:spacing w:before="100"/>
        <w:ind w:left="2478"/>
      </w:pPr>
      <w:bookmarkStart w:name="_TOC_250000" w:id="81"/>
      <w:bookmarkEnd w:id="81"/>
      <w:r>
        <w:rPr>
          <w:color w:val="8063A1"/>
        </w:rPr>
        <w:t>Conclusion</w:t>
      </w:r>
    </w:p>
    <w:p>
      <w:pPr>
        <w:spacing w:after="0"/>
        <w:sectPr>
          <w:headerReference w:type="default" r:id="rId139"/>
          <w:footerReference w:type="default" r:id="rId140"/>
          <w:pgSz w:w="11900" w:h="16840"/>
          <w:pgMar w:header="0" w:footer="0" w:top="1600" w:bottom="280" w:left="740" w:right="0"/>
          <w:pgBorders w:offsetFrom="page">
            <w:top w:val="single" w:color="000000" w:space="24" w:sz="36"/>
            <w:left w:val="single" w:color="000000" w:space="24" w:sz="36"/>
            <w:bottom w:val="single" w:color="000000" w:space="24" w:sz="36"/>
            <w:right w:val="single" w:color="000000" w:space="23" w:sz="36"/>
          </w:pgBorders>
        </w:sectPr>
      </w:pPr>
    </w:p>
    <w:p>
      <w:pPr>
        <w:pStyle w:val="BodyText"/>
        <w:spacing w:before="11"/>
        <w:rPr>
          <w:rFonts w:ascii="Lucida Calligraphy"/>
          <w:b/>
          <w:i/>
          <w:sz w:val="13"/>
        </w:rPr>
      </w:pPr>
    </w:p>
    <w:p>
      <w:pPr>
        <w:pStyle w:val="Heading3"/>
        <w:ind w:left="1382"/>
      </w:pPr>
      <w:r>
        <w:rPr/>
        <w:t>Conclusion</w:t>
      </w:r>
    </w:p>
    <w:p>
      <w:pPr>
        <w:pStyle w:val="BodyText"/>
        <w:spacing w:before="3"/>
        <w:rPr>
          <w:b/>
          <w:sz w:val="31"/>
        </w:rPr>
      </w:pPr>
    </w:p>
    <w:p>
      <w:pPr>
        <w:pStyle w:val="BodyText"/>
        <w:spacing w:line="360" w:lineRule="auto"/>
        <w:ind w:left="675" w:right="1413" w:firstLine="707"/>
        <w:jc w:val="both"/>
      </w:pPr>
      <w:r>
        <w:rPr/>
        <w:t>Dans ce travail, nous nous sommes intéressés à la qualité physico-chimique et bactériologique des eaux de six sources situées dans la région de Guelma qui sont </w:t>
      </w:r>
      <w:r>
        <w:rPr>
          <w:spacing w:val="-3"/>
        </w:rPr>
        <w:t>:</w:t>
      </w:r>
      <w:r>
        <w:rPr>
          <w:color w:val="1B1B1B"/>
          <w:spacing w:val="-3"/>
        </w:rPr>
        <w:t>Ain </w:t>
      </w:r>
      <w:r>
        <w:rPr>
          <w:color w:val="1B1B1B"/>
        </w:rPr>
        <w:t>Askor (Nechmaya),Ain Bouzerrafa (Nechmaya), Boua Ouled Chiha (Nechmaya), Ain Drahem (Oued Zenati),Ain Guettara (Ain Makhlouf) et Ain Bniguimen (Ras El</w:t>
      </w:r>
      <w:r>
        <w:rPr>
          <w:color w:val="1B1B1B"/>
          <w:spacing w:val="-10"/>
        </w:rPr>
        <w:t> </w:t>
      </w:r>
      <w:r>
        <w:rPr>
          <w:color w:val="1B1B1B"/>
        </w:rPr>
        <w:t>Agba).</w:t>
      </w:r>
    </w:p>
    <w:p>
      <w:pPr>
        <w:pStyle w:val="BodyText"/>
        <w:spacing w:line="362" w:lineRule="auto" w:before="199"/>
        <w:ind w:left="675" w:right="1421" w:firstLine="707"/>
        <w:jc w:val="both"/>
      </w:pPr>
      <w:r>
        <w:rPr/>
        <w:t>Les analyses de la qualité physico-chimique des six sources étudiées sont généralement conformes aux normes recommandées par l’OMS, ainsi</w:t>
      </w:r>
      <w:r>
        <w:rPr>
          <w:spacing w:val="-1"/>
        </w:rPr>
        <w:t> </w:t>
      </w:r>
      <w:r>
        <w:rPr/>
        <w:t>:</w:t>
      </w:r>
    </w:p>
    <w:p>
      <w:pPr>
        <w:pStyle w:val="ListParagraph"/>
        <w:numPr>
          <w:ilvl w:val="3"/>
          <w:numId w:val="29"/>
        </w:numPr>
        <w:tabs>
          <w:tab w:pos="1395" w:val="left" w:leader="none"/>
        </w:tabs>
        <w:spacing w:line="240" w:lineRule="auto" w:before="195" w:after="0"/>
        <w:ind w:left="1394" w:right="0" w:hanging="359"/>
        <w:jc w:val="left"/>
        <w:rPr>
          <w:sz w:val="24"/>
        </w:rPr>
      </w:pPr>
      <w:r>
        <w:rPr>
          <w:sz w:val="24"/>
        </w:rPr>
        <w:t>Les valeurs de pH sont neutres au niveau de six sources échantillonné</w:t>
      </w:r>
      <w:r>
        <w:rPr>
          <w:spacing w:val="-10"/>
          <w:sz w:val="24"/>
        </w:rPr>
        <w:t> </w:t>
      </w:r>
      <w:r>
        <w:rPr>
          <w:sz w:val="24"/>
        </w:rPr>
        <w:t>;</w:t>
      </w:r>
    </w:p>
    <w:p>
      <w:pPr>
        <w:pStyle w:val="ListParagraph"/>
        <w:numPr>
          <w:ilvl w:val="3"/>
          <w:numId w:val="29"/>
        </w:numPr>
        <w:tabs>
          <w:tab w:pos="1395" w:val="left" w:leader="none"/>
        </w:tabs>
        <w:spacing w:line="240" w:lineRule="auto" w:before="139" w:after="0"/>
        <w:ind w:left="1394" w:right="0" w:hanging="359"/>
        <w:jc w:val="left"/>
        <w:rPr>
          <w:sz w:val="24"/>
        </w:rPr>
      </w:pPr>
      <w:r>
        <w:rPr>
          <w:sz w:val="24"/>
        </w:rPr>
        <w:t>Les valeurs de la turbidité obtenue au cours de l’étude sont conformes aux normes</w:t>
      </w:r>
      <w:r>
        <w:rPr>
          <w:spacing w:val="-6"/>
          <w:sz w:val="24"/>
        </w:rPr>
        <w:t> </w:t>
      </w:r>
      <w:r>
        <w:rPr>
          <w:sz w:val="24"/>
        </w:rPr>
        <w:t>;</w:t>
      </w:r>
    </w:p>
    <w:p>
      <w:pPr>
        <w:pStyle w:val="ListParagraph"/>
        <w:numPr>
          <w:ilvl w:val="3"/>
          <w:numId w:val="29"/>
        </w:numPr>
        <w:tabs>
          <w:tab w:pos="1395" w:val="left" w:leader="none"/>
        </w:tabs>
        <w:spacing w:line="360" w:lineRule="auto" w:before="136" w:after="0"/>
        <w:ind w:left="1394" w:right="1424" w:hanging="359"/>
        <w:jc w:val="both"/>
        <w:rPr>
          <w:sz w:val="24"/>
        </w:rPr>
      </w:pPr>
      <w:r>
        <w:rPr>
          <w:spacing w:val="-4"/>
          <w:sz w:val="24"/>
        </w:rPr>
        <w:t>Le</w:t>
      </w:r>
      <w:r>
        <w:rPr>
          <w:spacing w:val="52"/>
          <w:sz w:val="24"/>
        </w:rPr>
        <w:t> </w:t>
      </w:r>
      <w:r>
        <w:rPr>
          <w:sz w:val="24"/>
        </w:rPr>
        <w:t>fer est aussi présent mais en faible concentrations, inférieur aux valeurs recommandées par l’OMS sauf au niveau de la source SABZ durant le mois d’avril (supérieur à la norme de l’OMS (2 mg/l) avec une valeur de 2,003</w:t>
      </w:r>
      <w:r>
        <w:rPr>
          <w:spacing w:val="-10"/>
          <w:sz w:val="24"/>
        </w:rPr>
        <w:t> </w:t>
      </w:r>
      <w:r>
        <w:rPr>
          <w:sz w:val="24"/>
        </w:rPr>
        <w:t>mg/l).</w:t>
      </w:r>
    </w:p>
    <w:p>
      <w:pPr>
        <w:pStyle w:val="BodyText"/>
        <w:spacing w:before="8"/>
        <w:rPr>
          <w:sz w:val="9"/>
        </w:rPr>
      </w:pPr>
    </w:p>
    <w:p>
      <w:pPr>
        <w:pStyle w:val="BodyText"/>
        <w:spacing w:before="90"/>
        <w:ind w:left="1382"/>
      </w:pPr>
      <w:r>
        <w:rPr/>
        <w:t>Les analyses microbiologiques pendant les trois mois (février, mars et avril) montrent</w:t>
      </w:r>
    </w:p>
    <w:p>
      <w:pPr>
        <w:pStyle w:val="BodyText"/>
        <w:spacing w:before="136"/>
        <w:ind w:left="675"/>
      </w:pPr>
      <w:r>
        <w:rPr/>
        <w:t>que :</w:t>
      </w:r>
    </w:p>
    <w:p>
      <w:pPr>
        <w:pStyle w:val="BodyText"/>
        <w:spacing w:before="6"/>
        <w:rPr>
          <w:sz w:val="21"/>
        </w:rPr>
      </w:pPr>
    </w:p>
    <w:p>
      <w:pPr>
        <w:pStyle w:val="ListParagraph"/>
        <w:numPr>
          <w:ilvl w:val="4"/>
          <w:numId w:val="29"/>
        </w:numPr>
        <w:tabs>
          <w:tab w:pos="1515" w:val="left" w:leader="none"/>
        </w:tabs>
        <w:spacing w:line="360" w:lineRule="auto" w:before="92" w:after="0"/>
        <w:ind w:left="1514" w:right="1419" w:hanging="359"/>
        <w:jc w:val="both"/>
        <w:rPr>
          <w:sz w:val="24"/>
        </w:rPr>
      </w:pPr>
      <w:r>
        <w:rPr>
          <w:spacing w:val="-4"/>
          <w:sz w:val="24"/>
        </w:rPr>
        <w:t>Le </w:t>
      </w:r>
      <w:r>
        <w:rPr>
          <w:sz w:val="24"/>
        </w:rPr>
        <w:t>taux de la flore mésophile totale est conforme à la norme recommandée </w:t>
      </w:r>
      <w:r>
        <w:rPr>
          <w:spacing w:val="-3"/>
          <w:sz w:val="24"/>
        </w:rPr>
        <w:t>par </w:t>
      </w:r>
      <w:r>
        <w:rPr>
          <w:sz w:val="24"/>
        </w:rPr>
        <w:t>l’OMS (100UFC/ml) sauf pour la source SAD qui pendant le mois de mars dépasse la norme avec 300UFC/ml</w:t>
      </w:r>
      <w:r>
        <w:rPr>
          <w:spacing w:val="2"/>
          <w:sz w:val="24"/>
        </w:rPr>
        <w:t> </w:t>
      </w:r>
      <w:r>
        <w:rPr>
          <w:sz w:val="24"/>
        </w:rPr>
        <w:t>;</w:t>
      </w:r>
    </w:p>
    <w:p>
      <w:pPr>
        <w:pStyle w:val="ListParagraph"/>
        <w:numPr>
          <w:ilvl w:val="4"/>
          <w:numId w:val="29"/>
        </w:numPr>
        <w:tabs>
          <w:tab w:pos="1515" w:val="left" w:leader="none"/>
        </w:tabs>
        <w:spacing w:line="360" w:lineRule="auto" w:before="0" w:after="0"/>
        <w:ind w:left="1514" w:right="1415" w:hanging="359"/>
        <w:jc w:val="both"/>
        <w:rPr>
          <w:sz w:val="24"/>
        </w:rPr>
      </w:pPr>
      <w:r>
        <w:rPr>
          <w:sz w:val="24"/>
        </w:rPr>
        <w:t>Une augmentation de taux des coliformes totaux qui dépasse la norme de l’OMS au niveau des sources SABZ, SBWC, SAG </w:t>
      </w:r>
      <w:r>
        <w:rPr>
          <w:spacing w:val="2"/>
          <w:sz w:val="24"/>
        </w:rPr>
        <w:t>et </w:t>
      </w:r>
      <w:r>
        <w:rPr>
          <w:sz w:val="24"/>
        </w:rPr>
        <w:t>dépasse </w:t>
      </w:r>
      <w:r>
        <w:rPr>
          <w:spacing w:val="-3"/>
          <w:sz w:val="24"/>
        </w:rPr>
        <w:t>de </w:t>
      </w:r>
      <w:r>
        <w:rPr>
          <w:sz w:val="24"/>
        </w:rPr>
        <w:t>très loin la norme (10UFC/ml) au niveau de la source </w:t>
      </w:r>
      <w:r>
        <w:rPr>
          <w:spacing w:val="-3"/>
          <w:sz w:val="24"/>
        </w:rPr>
        <w:t>SAD </w:t>
      </w:r>
      <w:r>
        <w:rPr>
          <w:sz w:val="24"/>
        </w:rPr>
        <w:t>avec 300UFC/ml</w:t>
      </w:r>
      <w:r>
        <w:rPr>
          <w:spacing w:val="9"/>
          <w:sz w:val="24"/>
        </w:rPr>
        <w:t> </w:t>
      </w:r>
      <w:r>
        <w:rPr>
          <w:sz w:val="24"/>
        </w:rPr>
        <w:t>;</w:t>
      </w:r>
    </w:p>
    <w:p>
      <w:pPr>
        <w:pStyle w:val="ListParagraph"/>
        <w:numPr>
          <w:ilvl w:val="4"/>
          <w:numId w:val="29"/>
        </w:numPr>
        <w:tabs>
          <w:tab w:pos="1515" w:val="left" w:leader="none"/>
        </w:tabs>
        <w:spacing w:line="357" w:lineRule="auto" w:before="0" w:after="0"/>
        <w:ind w:left="1514" w:right="1426" w:hanging="359"/>
        <w:jc w:val="both"/>
        <w:rPr>
          <w:sz w:val="24"/>
        </w:rPr>
      </w:pPr>
      <w:r>
        <w:rPr>
          <w:sz w:val="24"/>
        </w:rPr>
        <w:t>Les coliformes fécaux dénombrés au niveau des sources SABZ, SBWC, SAD et SAG dépassent la norme de l’OMS (0 UFC/ml)</w:t>
      </w:r>
      <w:r>
        <w:rPr>
          <w:spacing w:val="-6"/>
          <w:sz w:val="24"/>
        </w:rPr>
        <w:t> </w:t>
      </w:r>
      <w:r>
        <w:rPr>
          <w:sz w:val="24"/>
        </w:rPr>
        <w:t>;</w:t>
      </w:r>
    </w:p>
    <w:p>
      <w:pPr>
        <w:pStyle w:val="ListParagraph"/>
        <w:numPr>
          <w:ilvl w:val="4"/>
          <w:numId w:val="29"/>
        </w:numPr>
        <w:tabs>
          <w:tab w:pos="1515" w:val="left" w:leader="none"/>
        </w:tabs>
        <w:spacing w:line="362" w:lineRule="auto" w:before="1" w:after="0"/>
        <w:ind w:left="1514" w:right="1413" w:hanging="359"/>
        <w:jc w:val="both"/>
        <w:rPr>
          <w:sz w:val="24"/>
        </w:rPr>
      </w:pPr>
      <w:r>
        <w:rPr>
          <w:spacing w:val="-4"/>
          <w:sz w:val="24"/>
        </w:rPr>
        <w:t>Le </w:t>
      </w:r>
      <w:r>
        <w:rPr>
          <w:sz w:val="24"/>
        </w:rPr>
        <w:t>taux de Streptocoques fécaux dépasse la norme de l’OMS au niveau des sources SABZ, SBWC, SAD, SAG</w:t>
      </w:r>
      <w:r>
        <w:rPr>
          <w:spacing w:val="4"/>
          <w:sz w:val="24"/>
        </w:rPr>
        <w:t> </w:t>
      </w:r>
      <w:r>
        <w:rPr>
          <w:sz w:val="24"/>
        </w:rPr>
        <w:t>;</w:t>
      </w:r>
    </w:p>
    <w:p>
      <w:pPr>
        <w:pStyle w:val="ListParagraph"/>
        <w:numPr>
          <w:ilvl w:val="4"/>
          <w:numId w:val="29"/>
        </w:numPr>
        <w:tabs>
          <w:tab w:pos="1515" w:val="left" w:leader="none"/>
        </w:tabs>
        <w:spacing w:line="362" w:lineRule="auto" w:before="0" w:after="0"/>
        <w:ind w:left="1514" w:right="1421" w:hanging="359"/>
        <w:jc w:val="both"/>
        <w:rPr>
          <w:sz w:val="24"/>
        </w:rPr>
      </w:pPr>
      <w:r>
        <w:rPr>
          <w:sz w:val="24"/>
        </w:rPr>
        <w:t>Absence totale des anaérobie sulfito-réducteurs durant la période d’étude au niveau de toutes les sources</w:t>
      </w:r>
      <w:r>
        <w:rPr>
          <w:spacing w:val="-6"/>
          <w:sz w:val="24"/>
        </w:rPr>
        <w:t> </w:t>
      </w:r>
      <w:r>
        <w:rPr>
          <w:sz w:val="24"/>
        </w:rPr>
        <w:t>échantillonnées.</w:t>
      </w:r>
    </w:p>
    <w:p>
      <w:pPr>
        <w:spacing w:after="0" w:line="362" w:lineRule="auto"/>
        <w:jc w:val="both"/>
        <w:rPr>
          <w:sz w:val="24"/>
        </w:rPr>
        <w:sectPr>
          <w:headerReference w:type="default" r:id="rId141"/>
          <w:footerReference w:type="default" r:id="rId142"/>
          <w:pgSz w:w="11900" w:h="16840"/>
          <w:pgMar w:header="727" w:footer="1061" w:top="1180" w:bottom="1260" w:left="740" w:right="0"/>
          <w:pgNumType w:start="59"/>
        </w:sectPr>
      </w:pPr>
    </w:p>
    <w:p>
      <w:pPr>
        <w:pStyle w:val="BodyText"/>
        <w:rPr>
          <w:sz w:val="16"/>
        </w:rPr>
      </w:pPr>
    </w:p>
    <w:p>
      <w:pPr>
        <w:pStyle w:val="BodyText"/>
        <w:spacing w:before="90"/>
        <w:ind w:left="675"/>
      </w:pPr>
      <w:r>
        <w:rPr/>
        <w:t>Enfin, nous pourrons conclure que :</w:t>
      </w:r>
    </w:p>
    <w:p>
      <w:pPr>
        <w:pStyle w:val="BodyText"/>
        <w:spacing w:before="6"/>
        <w:rPr>
          <w:sz w:val="29"/>
        </w:rPr>
      </w:pPr>
    </w:p>
    <w:p>
      <w:pPr>
        <w:pStyle w:val="ListParagraph"/>
        <w:numPr>
          <w:ilvl w:val="0"/>
          <w:numId w:val="30"/>
        </w:numPr>
        <w:tabs>
          <w:tab w:pos="1395" w:val="left" w:leader="none"/>
        </w:tabs>
        <w:spacing w:line="240" w:lineRule="auto" w:before="0" w:after="0"/>
        <w:ind w:left="1394" w:right="0" w:hanging="359"/>
        <w:jc w:val="left"/>
        <w:rPr>
          <w:sz w:val="24"/>
        </w:rPr>
      </w:pPr>
      <w:r>
        <w:rPr>
          <w:sz w:val="24"/>
        </w:rPr>
        <w:t>Les deux sources Ain Askor et Ain Bni Guimen sont de bonne qualité</w:t>
      </w:r>
      <w:r>
        <w:rPr>
          <w:spacing w:val="7"/>
          <w:sz w:val="24"/>
        </w:rPr>
        <w:t> </w:t>
      </w:r>
      <w:r>
        <w:rPr>
          <w:sz w:val="24"/>
        </w:rPr>
        <w:t>;</w:t>
      </w:r>
    </w:p>
    <w:p>
      <w:pPr>
        <w:pStyle w:val="ListParagraph"/>
        <w:numPr>
          <w:ilvl w:val="0"/>
          <w:numId w:val="30"/>
        </w:numPr>
        <w:tabs>
          <w:tab w:pos="1395" w:val="left" w:leader="none"/>
        </w:tabs>
        <w:spacing w:line="348" w:lineRule="auto" w:before="115" w:after="0"/>
        <w:ind w:left="1394" w:right="1419" w:hanging="359"/>
        <w:jc w:val="both"/>
        <w:rPr>
          <w:sz w:val="24"/>
        </w:rPr>
      </w:pPr>
      <w:r>
        <w:rPr>
          <w:sz w:val="24"/>
        </w:rPr>
        <w:t>Les sources </w:t>
      </w:r>
      <w:r>
        <w:rPr>
          <w:color w:val="1B1B1B"/>
          <w:sz w:val="24"/>
        </w:rPr>
        <w:t>Ain Bouzerrafa, Boua Ouled Chiha, Ain Guettara sont contaminé mais avec un traitement adéquat avec le chlore peuvent redevenir de bonne qualité bactériologique</w:t>
      </w:r>
      <w:r>
        <w:rPr>
          <w:color w:val="1B1B1B"/>
          <w:spacing w:val="3"/>
          <w:sz w:val="24"/>
        </w:rPr>
        <w:t> </w:t>
      </w:r>
      <w:r>
        <w:rPr>
          <w:color w:val="1B1B1B"/>
          <w:sz w:val="24"/>
        </w:rPr>
        <w:t>;</w:t>
      </w:r>
    </w:p>
    <w:p>
      <w:pPr>
        <w:pStyle w:val="ListParagraph"/>
        <w:numPr>
          <w:ilvl w:val="0"/>
          <w:numId w:val="30"/>
        </w:numPr>
        <w:tabs>
          <w:tab w:pos="1395" w:val="left" w:leader="none"/>
        </w:tabs>
        <w:spacing w:line="333" w:lineRule="auto" w:before="23" w:after="0"/>
        <w:ind w:left="1394" w:right="1415" w:hanging="359"/>
        <w:jc w:val="both"/>
        <w:rPr>
          <w:sz w:val="24"/>
        </w:rPr>
      </w:pPr>
      <w:r>
        <w:rPr>
          <w:spacing w:val="-4"/>
          <w:sz w:val="24"/>
        </w:rPr>
        <w:t>La </w:t>
      </w:r>
      <w:r>
        <w:rPr>
          <w:sz w:val="24"/>
        </w:rPr>
        <w:t>source Ain Drahem est de mauvaise qualité bactériologique, son eau n’est pas potable pour la consommation humaine, et nécessite d’un curage</w:t>
      </w:r>
      <w:r>
        <w:rPr>
          <w:spacing w:val="-15"/>
          <w:sz w:val="24"/>
        </w:rPr>
        <w:t> </w:t>
      </w:r>
      <w:r>
        <w:rPr>
          <w:sz w:val="24"/>
        </w:rPr>
        <w:t>efficace.</w:t>
      </w:r>
    </w:p>
    <w:p>
      <w:pPr>
        <w:spacing w:after="0" w:line="333" w:lineRule="auto"/>
        <w:jc w:val="both"/>
        <w:rPr>
          <w:sz w:val="24"/>
        </w:rPr>
        <w:sectPr>
          <w:pgSz w:w="11900" w:h="16840"/>
          <w:pgMar w:header="727" w:footer="1061" w:top="1180" w:bottom="1260" w:left="74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3"/>
        </w:rPr>
      </w:pPr>
    </w:p>
    <w:p>
      <w:pPr>
        <w:pStyle w:val="Heading1"/>
        <w:spacing w:line="276" w:lineRule="auto"/>
        <w:ind w:firstLine="1231"/>
      </w:pPr>
      <w:r>
        <w:rPr>
          <w:color w:val="8063A1"/>
        </w:rPr>
        <w:t>Références </w:t>
      </w:r>
      <w:r>
        <w:rPr>
          <w:color w:val="8063A1"/>
          <w:w w:val="95"/>
        </w:rPr>
        <w:t>bibliographiques</w:t>
      </w:r>
    </w:p>
    <w:p>
      <w:pPr>
        <w:spacing w:after="0" w:line="276" w:lineRule="auto"/>
        <w:sectPr>
          <w:headerReference w:type="default" r:id="rId143"/>
          <w:footerReference w:type="default" r:id="rId144"/>
          <w:pgSz w:w="11900" w:h="16840"/>
          <w:pgMar w:header="0" w:footer="0" w:top="1600" w:bottom="280" w:left="740" w:right="0"/>
          <w:pgBorders w:offsetFrom="page">
            <w:top w:val="single" w:color="000000" w:space="24" w:sz="36"/>
            <w:left w:val="single" w:color="000000" w:space="24" w:sz="36"/>
            <w:bottom w:val="single" w:color="000000" w:space="24" w:sz="36"/>
            <w:right w:val="single" w:color="000000" w:space="23" w:sz="36"/>
          </w:pgBorders>
        </w:sectPr>
      </w:pPr>
    </w:p>
    <w:p>
      <w:pPr>
        <w:pStyle w:val="BodyText"/>
        <w:spacing w:before="3"/>
        <w:rPr>
          <w:b/>
          <w:sz w:val="21"/>
        </w:rPr>
      </w:pPr>
    </w:p>
    <w:p>
      <w:pPr>
        <w:pStyle w:val="Heading3"/>
      </w:pPr>
      <w:r>
        <w:rPr/>
        <w:t>Références bibliographiques :</w:t>
      </w:r>
    </w:p>
    <w:p>
      <w:pPr>
        <w:pStyle w:val="BodyText"/>
        <w:spacing w:before="4"/>
        <w:rPr>
          <w:b/>
          <w:sz w:val="35"/>
        </w:rPr>
      </w:pPr>
    </w:p>
    <w:p>
      <w:pPr>
        <w:pStyle w:val="BodyText"/>
        <w:ind w:left="675"/>
      </w:pPr>
      <w:r>
        <w:rPr>
          <w:b/>
        </w:rPr>
        <w:t>Anonyme. 1984. </w:t>
      </w:r>
      <w:r>
        <w:rPr/>
        <w:t>Water and environmental german din standart19643 of april/1984.</w:t>
      </w:r>
    </w:p>
    <w:p>
      <w:pPr>
        <w:pStyle w:val="BodyText"/>
        <w:spacing w:before="2"/>
        <w:rPr>
          <w:sz w:val="29"/>
        </w:rPr>
      </w:pPr>
    </w:p>
    <w:p>
      <w:pPr>
        <w:pStyle w:val="BodyText"/>
        <w:spacing w:line="357" w:lineRule="auto"/>
        <w:ind w:left="675" w:right="2095"/>
      </w:pPr>
      <w:r>
        <w:rPr>
          <w:b/>
        </w:rPr>
        <w:t>Anonyme. 2006. a. </w:t>
      </w:r>
      <w:r>
        <w:rPr/>
        <w:t>Les bactéries pathogènes d’origine hydrique : Micro-organismes préoccupants courants et émergents. Santé Canada.</w:t>
      </w:r>
    </w:p>
    <w:p>
      <w:pPr>
        <w:spacing w:before="206"/>
        <w:ind w:left="675" w:right="0" w:firstLine="0"/>
        <w:jc w:val="left"/>
        <w:rPr>
          <w:sz w:val="24"/>
        </w:rPr>
      </w:pPr>
      <w:r>
        <w:rPr>
          <w:b/>
          <w:sz w:val="24"/>
        </w:rPr>
        <w:t>Anonyme. 2006.b. </w:t>
      </w:r>
      <w:r>
        <w:rPr>
          <w:sz w:val="24"/>
        </w:rPr>
        <w:t>Contrôle sanitaire des eaux, Guide de prélèvement, France, 6p.</w:t>
      </w:r>
    </w:p>
    <w:p>
      <w:pPr>
        <w:pStyle w:val="BodyText"/>
        <w:spacing w:before="2"/>
        <w:rPr>
          <w:sz w:val="29"/>
        </w:rPr>
      </w:pPr>
    </w:p>
    <w:p>
      <w:pPr>
        <w:pStyle w:val="BodyText"/>
        <w:spacing w:line="360" w:lineRule="auto"/>
        <w:ind w:left="675" w:right="1797"/>
      </w:pPr>
      <w:r>
        <w:rPr>
          <w:b/>
        </w:rPr>
        <w:t>Aouisssi. A. 2010.</w:t>
      </w:r>
      <w:r>
        <w:rPr/>
        <w:t>Microbiologie et physico-chimie de l’eau des puits et des sources de la région de Guelma (Nord-Est de l’Algérie), mémoire de magister en Hydro-écologie, Université de Guelma. 120p.</w:t>
      </w:r>
    </w:p>
    <w:p>
      <w:pPr>
        <w:spacing w:line="357" w:lineRule="auto" w:before="202"/>
        <w:ind w:left="675" w:right="1450" w:firstLine="0"/>
        <w:jc w:val="left"/>
        <w:rPr>
          <w:sz w:val="24"/>
        </w:rPr>
      </w:pPr>
      <w:r>
        <w:rPr>
          <w:b/>
          <w:sz w:val="24"/>
        </w:rPr>
        <w:t>Aumaître. H. Lecaillon. E. Ollivier. S, Bouchaud. O. 2004. </w:t>
      </w:r>
      <w:r>
        <w:rPr>
          <w:sz w:val="24"/>
        </w:rPr>
        <w:t>Diarrhées bactériennes, EMC- Chirurgie 1, France,454p.</w:t>
      </w:r>
    </w:p>
    <w:p>
      <w:pPr>
        <w:pStyle w:val="BodyText"/>
        <w:spacing w:line="276" w:lineRule="auto" w:before="204"/>
        <w:ind w:left="675" w:right="1412"/>
        <w:jc w:val="both"/>
      </w:pPr>
      <w:r>
        <w:rPr>
          <w:b/>
        </w:rPr>
        <w:t>Barthe. C. Perron. J. 1998</w:t>
      </w:r>
      <w:r>
        <w:rPr/>
        <w:t>. Guide d’interprétation des paramètres microbiologiques d’intérêt dans le domaine de l’eau potable. Document de travail (version préliminaire), Ministère de l’Environnement du Québec, Canada, 155 p.</w:t>
      </w:r>
    </w:p>
    <w:p>
      <w:pPr>
        <w:pStyle w:val="BodyText"/>
        <w:spacing w:line="360" w:lineRule="auto" w:before="200"/>
        <w:ind w:left="675" w:right="1439"/>
      </w:pPr>
      <w:r>
        <w:rPr>
          <w:b/>
        </w:rPr>
        <w:t>Baumont. S. Camard. JP. Franconi. A. 2004.</w:t>
      </w:r>
      <w:r>
        <w:rPr/>
        <w:t>Réutilisation des eaux usées épurées : Risques sanitaires et faisabilité en Île-de-France, Institut d’aménagement et d’urbanisme de la région Ile-de-France, France, 176 p.</w:t>
      </w:r>
    </w:p>
    <w:p>
      <w:pPr>
        <w:pStyle w:val="BodyText"/>
        <w:spacing w:line="362" w:lineRule="auto" w:before="198"/>
        <w:ind w:left="675" w:right="1450"/>
      </w:pPr>
      <w:r>
        <w:rPr>
          <w:b/>
        </w:rPr>
        <w:t>Bechiri. N.2011. </w:t>
      </w:r>
      <w:r>
        <w:rPr/>
        <w:t>Evolution des chimismes des eaux de surfaces et souterraines dans le bassin versant de la Seybouse (nord-est algérien), Université BadjiMokhtar, Annaba ,1p.</w:t>
      </w:r>
    </w:p>
    <w:p>
      <w:pPr>
        <w:spacing w:before="194"/>
        <w:ind w:left="675" w:right="0" w:firstLine="0"/>
        <w:jc w:val="left"/>
        <w:rPr>
          <w:sz w:val="24"/>
        </w:rPr>
      </w:pPr>
      <w:r>
        <w:rPr>
          <w:b/>
          <w:sz w:val="24"/>
        </w:rPr>
        <w:t>Beltrando. G.Chemery. L. 1995. </w:t>
      </w:r>
      <w:r>
        <w:rPr>
          <w:sz w:val="24"/>
        </w:rPr>
        <w:t>Dictionnaire du climat, Larousse, Paris, 344 p.</w:t>
      </w:r>
    </w:p>
    <w:p>
      <w:pPr>
        <w:pStyle w:val="BodyText"/>
        <w:spacing w:before="6"/>
        <w:rPr>
          <w:sz w:val="29"/>
        </w:rPr>
      </w:pPr>
    </w:p>
    <w:p>
      <w:pPr>
        <w:spacing w:line="357" w:lineRule="auto" w:before="0"/>
        <w:ind w:left="675" w:right="2095" w:firstLine="0"/>
        <w:jc w:val="left"/>
        <w:rPr>
          <w:sz w:val="24"/>
        </w:rPr>
      </w:pPr>
      <w:r>
        <w:rPr>
          <w:b/>
          <w:sz w:val="24"/>
        </w:rPr>
        <w:t>Bennaoui. F.Draiss. G.Bourrous. M.Bouskraoui. M. 2010. </w:t>
      </w:r>
      <w:r>
        <w:rPr>
          <w:sz w:val="24"/>
        </w:rPr>
        <w:t>La méthémoglobinémie congénitale : à propos d’un cas, Journal de pédiatrie et de puériculture.</w:t>
      </w:r>
    </w:p>
    <w:p>
      <w:pPr>
        <w:pStyle w:val="BodyText"/>
        <w:spacing w:line="357" w:lineRule="auto" w:before="205"/>
        <w:ind w:left="675" w:right="1450"/>
      </w:pPr>
      <w:r>
        <w:rPr>
          <w:b/>
        </w:rPr>
        <w:t>Bernard. C. 2007.</w:t>
      </w:r>
      <w:r>
        <w:rPr/>
        <w:t>Introduction à l’étude de la médecine expérimentale. Edition Bibliobazaar, France.</w:t>
      </w:r>
    </w:p>
    <w:p>
      <w:pPr>
        <w:pStyle w:val="BodyText"/>
        <w:spacing w:line="276" w:lineRule="auto" w:before="205"/>
        <w:ind w:left="675" w:right="1797"/>
      </w:pPr>
      <w:r>
        <w:rPr>
          <w:b/>
        </w:rPr>
        <w:t>Berne. F. 1972. </w:t>
      </w:r>
      <w:r>
        <w:rPr/>
        <w:t>Les traitements des eaux dans l'industrie pétrolière. Édition TECHNIP, Genève, 207 p.</w:t>
      </w:r>
    </w:p>
    <w:p>
      <w:pPr>
        <w:spacing w:before="201"/>
        <w:ind w:left="675" w:right="0" w:firstLine="0"/>
        <w:jc w:val="left"/>
        <w:rPr>
          <w:sz w:val="24"/>
        </w:rPr>
      </w:pPr>
      <w:r>
        <w:rPr>
          <w:b/>
          <w:sz w:val="24"/>
        </w:rPr>
        <w:t>Bitton. G. 1999</w:t>
      </w:r>
      <w:r>
        <w:rPr>
          <w:sz w:val="24"/>
        </w:rPr>
        <w:t>. Waste water Microbiology. John Wiley &amp; Sons, USA, 578 p.</w:t>
      </w:r>
    </w:p>
    <w:p>
      <w:pPr>
        <w:spacing w:after="0"/>
        <w:jc w:val="left"/>
        <w:rPr>
          <w:sz w:val="24"/>
        </w:rPr>
        <w:sectPr>
          <w:headerReference w:type="default" r:id="rId145"/>
          <w:footerReference w:type="default" r:id="rId146"/>
          <w:pgSz w:w="11900" w:h="16840"/>
          <w:pgMar w:header="733" w:footer="0" w:top="1080" w:bottom="280" w:left="740" w:right="0"/>
        </w:sectPr>
      </w:pPr>
    </w:p>
    <w:p>
      <w:pPr>
        <w:pStyle w:val="BodyText"/>
        <w:rPr>
          <w:sz w:val="25"/>
        </w:rPr>
      </w:pPr>
    </w:p>
    <w:p>
      <w:pPr>
        <w:spacing w:line="357" w:lineRule="auto" w:before="90"/>
        <w:ind w:left="675" w:right="1414" w:firstLine="0"/>
        <w:jc w:val="left"/>
        <w:rPr>
          <w:sz w:val="24"/>
        </w:rPr>
      </w:pPr>
      <w:r>
        <w:rPr>
          <w:b/>
          <w:sz w:val="24"/>
        </w:rPr>
        <w:t>Bolla. J. Garnotel. E. 2008. </w:t>
      </w:r>
      <w:r>
        <w:rPr>
          <w:sz w:val="24"/>
        </w:rPr>
        <w:t>Infections à campylobacter. Revue Francophone desLaboratoires N°400.</w:t>
      </w:r>
    </w:p>
    <w:p>
      <w:pPr>
        <w:pStyle w:val="BodyText"/>
        <w:spacing w:before="5"/>
      </w:pPr>
    </w:p>
    <w:p>
      <w:pPr>
        <w:spacing w:before="0"/>
        <w:ind w:left="675" w:right="0" w:firstLine="0"/>
        <w:jc w:val="left"/>
        <w:rPr>
          <w:sz w:val="24"/>
        </w:rPr>
      </w:pPr>
      <w:r>
        <w:rPr>
          <w:b/>
          <w:sz w:val="24"/>
        </w:rPr>
        <w:t>Castany. G. 1982. </w:t>
      </w:r>
      <w:r>
        <w:rPr>
          <w:sz w:val="24"/>
        </w:rPr>
        <w:t>Principes et méthodes de l’hydrogéologie. Edition: Dunod, France.</w:t>
      </w:r>
    </w:p>
    <w:p>
      <w:pPr>
        <w:pStyle w:val="BodyText"/>
        <w:spacing w:before="6"/>
        <w:rPr>
          <w:sz w:val="36"/>
        </w:rPr>
      </w:pPr>
    </w:p>
    <w:p>
      <w:pPr>
        <w:pStyle w:val="BodyText"/>
        <w:spacing w:line="357" w:lineRule="auto"/>
        <w:ind w:left="675" w:right="1408"/>
      </w:pPr>
      <w:r>
        <w:rPr>
          <w:b/>
        </w:rPr>
        <w:t>Coulibaly. K. 2005.</w:t>
      </w:r>
      <w:r>
        <w:rPr/>
        <w:t>étude de la qualité physico-chimique et bactériologique de l’eau des puits de certains quartiers du district de Bamako. Université de Bamako, Mali, 5p.</w:t>
      </w:r>
    </w:p>
    <w:p>
      <w:pPr>
        <w:pStyle w:val="BodyText"/>
        <w:spacing w:before="9"/>
      </w:pPr>
    </w:p>
    <w:p>
      <w:pPr>
        <w:spacing w:line="357" w:lineRule="auto" w:before="0"/>
        <w:ind w:left="675" w:right="1640" w:firstLine="0"/>
        <w:jc w:val="left"/>
        <w:rPr>
          <w:sz w:val="24"/>
        </w:rPr>
      </w:pPr>
      <w:r>
        <w:rPr>
          <w:b/>
          <w:sz w:val="24"/>
        </w:rPr>
        <w:t>Cruyper.K et Denneg. K. 1993</w:t>
      </w:r>
      <w:r>
        <w:rPr>
          <w:sz w:val="24"/>
        </w:rPr>
        <w:t>. La qualité de l’eau à la sortie du robinet: Revue de tribune de l’eau. Éditions Cebedoc, France.</w:t>
      </w:r>
    </w:p>
    <w:p>
      <w:pPr>
        <w:pStyle w:val="BodyText"/>
        <w:spacing w:before="9"/>
      </w:pPr>
    </w:p>
    <w:p>
      <w:pPr>
        <w:spacing w:before="1"/>
        <w:ind w:left="675" w:right="0" w:firstLine="0"/>
        <w:jc w:val="left"/>
        <w:rPr>
          <w:sz w:val="24"/>
        </w:rPr>
      </w:pPr>
      <w:r>
        <w:rPr>
          <w:b/>
          <w:sz w:val="24"/>
        </w:rPr>
        <w:t>Defranceschi. M. 1996. </w:t>
      </w:r>
      <w:r>
        <w:rPr>
          <w:sz w:val="24"/>
        </w:rPr>
        <w:t>L’eau dans tous ses états. Edition: Ellipses, France, 61p.</w:t>
      </w:r>
    </w:p>
    <w:p>
      <w:pPr>
        <w:pStyle w:val="BodyText"/>
        <w:spacing w:before="1"/>
        <w:rPr>
          <w:sz w:val="29"/>
        </w:rPr>
      </w:pPr>
    </w:p>
    <w:p>
      <w:pPr>
        <w:pStyle w:val="BodyText"/>
        <w:spacing w:line="362" w:lineRule="auto"/>
        <w:ind w:left="675" w:right="1408"/>
      </w:pPr>
      <w:r>
        <w:rPr>
          <w:b/>
        </w:rPr>
        <w:t>Delarras. C. 2000. </w:t>
      </w:r>
      <w:r>
        <w:rPr/>
        <w:t>Microbiologie de l’environnement avec législation. Gaétan Morin Europe, Paris, 132p.</w:t>
      </w:r>
    </w:p>
    <w:p>
      <w:pPr>
        <w:spacing w:line="362" w:lineRule="auto" w:before="195"/>
        <w:ind w:left="675" w:right="2095" w:firstLine="0"/>
        <w:jc w:val="left"/>
        <w:rPr>
          <w:sz w:val="24"/>
        </w:rPr>
      </w:pPr>
      <w:r>
        <w:rPr>
          <w:b/>
          <w:sz w:val="24"/>
        </w:rPr>
        <w:t>Faby. J.Brissaud. F. 1997. </w:t>
      </w:r>
      <w:r>
        <w:rPr>
          <w:sz w:val="24"/>
        </w:rPr>
        <w:t>L’utilisation des eaux usées épurées en irrigation. Office International de l’Eau, France, 76 p.</w:t>
      </w:r>
    </w:p>
    <w:p>
      <w:pPr>
        <w:spacing w:line="362" w:lineRule="auto" w:before="194"/>
        <w:ind w:left="675" w:right="1572" w:firstLine="0"/>
        <w:jc w:val="left"/>
        <w:rPr>
          <w:sz w:val="24"/>
        </w:rPr>
      </w:pPr>
      <w:r>
        <w:rPr>
          <w:b/>
          <w:sz w:val="24"/>
        </w:rPr>
        <w:t>Festy. B.Hartemann. P.Ledrans. M. Levallois. P. Payement. P. Tricard. D. 2003</w:t>
      </w:r>
      <w:r>
        <w:rPr>
          <w:sz w:val="24"/>
        </w:rPr>
        <w:t>. qualité de l’eau. Edition Tec &amp; doc, Paris, 336p.</w:t>
      </w:r>
    </w:p>
    <w:p>
      <w:pPr>
        <w:pStyle w:val="BodyText"/>
        <w:spacing w:before="9"/>
        <w:rPr>
          <w:sz w:val="23"/>
        </w:rPr>
      </w:pPr>
    </w:p>
    <w:p>
      <w:pPr>
        <w:pStyle w:val="BodyText"/>
        <w:spacing w:line="362" w:lineRule="auto" w:before="1"/>
        <w:ind w:left="675" w:right="2095"/>
      </w:pPr>
      <w:r>
        <w:rPr>
          <w:b/>
        </w:rPr>
        <w:t>Fiambsch. H. 1998. </w:t>
      </w:r>
      <w:r>
        <w:rPr/>
        <w:t>Chang from chlorine résidual distribution to no chlorine residual distribution in groundwater system. Watersupply. Vol 6 N°3/4, Germany, 145-152p.</w:t>
      </w:r>
    </w:p>
    <w:p>
      <w:pPr>
        <w:pStyle w:val="BodyText"/>
        <w:spacing w:before="9"/>
        <w:rPr>
          <w:sz w:val="23"/>
        </w:rPr>
      </w:pPr>
    </w:p>
    <w:p>
      <w:pPr>
        <w:pStyle w:val="BodyText"/>
        <w:spacing w:line="362" w:lineRule="auto"/>
        <w:ind w:left="675" w:right="1450"/>
      </w:pPr>
      <w:r>
        <w:rPr>
          <w:b/>
        </w:rPr>
        <w:t>Friedli. C. 2002</w:t>
      </w:r>
      <w:r>
        <w:rPr/>
        <w:t>. Chimie générale pour ingénieur. Edition : presse polytechniques, France, 150p.</w:t>
      </w:r>
    </w:p>
    <w:p>
      <w:pPr>
        <w:pStyle w:val="BodyText"/>
        <w:spacing w:before="10"/>
        <w:rPr>
          <w:sz w:val="23"/>
        </w:rPr>
      </w:pPr>
    </w:p>
    <w:p>
      <w:pPr>
        <w:pStyle w:val="BodyText"/>
        <w:spacing w:line="362" w:lineRule="auto"/>
        <w:ind w:left="675" w:right="1797"/>
      </w:pPr>
      <w:r>
        <w:rPr>
          <w:b/>
        </w:rPr>
        <w:t>Gaujour. D. 1985</w:t>
      </w:r>
      <w:r>
        <w:rPr/>
        <w:t>. La pollution des milieux aquatiques : Aide-mémoire. Édition: revue et augmenté, Paris, 49p.</w:t>
      </w:r>
    </w:p>
    <w:p>
      <w:pPr>
        <w:pStyle w:val="BodyText"/>
        <w:spacing w:before="9"/>
        <w:rPr>
          <w:sz w:val="23"/>
        </w:rPr>
      </w:pPr>
    </w:p>
    <w:p>
      <w:pPr>
        <w:spacing w:line="360" w:lineRule="auto" w:before="0"/>
        <w:ind w:left="675" w:right="1410" w:firstLine="0"/>
        <w:jc w:val="both"/>
        <w:rPr>
          <w:sz w:val="24"/>
        </w:rPr>
      </w:pPr>
      <w:r>
        <w:rPr>
          <w:b/>
          <w:sz w:val="24"/>
        </w:rPr>
        <w:t>Gauthier. V. Barbeau. B. Tremblay. G. Millette. L et Bernier. A. 2003. </w:t>
      </w:r>
      <w:r>
        <w:rPr>
          <w:sz w:val="24"/>
        </w:rPr>
        <w:t>«Impact of raw water turbidity fluctuations on drinking water quality in a distribution system», Journal of Environmental Engineering and Science, Canada.</w:t>
      </w:r>
    </w:p>
    <w:p>
      <w:pPr>
        <w:spacing w:after="0" w:line="360" w:lineRule="auto"/>
        <w:jc w:val="both"/>
        <w:rPr>
          <w:sz w:val="24"/>
        </w:rPr>
        <w:sectPr>
          <w:headerReference w:type="default" r:id="rId147"/>
          <w:footerReference w:type="default" r:id="rId148"/>
          <w:pgSz w:w="11900" w:h="16840"/>
          <w:pgMar w:header="733" w:footer="0" w:top="1080" w:bottom="280" w:left="740" w:right="0"/>
        </w:sectPr>
      </w:pPr>
    </w:p>
    <w:p>
      <w:pPr>
        <w:pStyle w:val="BodyText"/>
        <w:rPr>
          <w:sz w:val="25"/>
        </w:rPr>
      </w:pPr>
    </w:p>
    <w:p>
      <w:pPr>
        <w:spacing w:line="357" w:lineRule="auto" w:before="90"/>
        <w:ind w:left="675" w:right="1323" w:firstLine="0"/>
        <w:jc w:val="left"/>
        <w:rPr>
          <w:sz w:val="24"/>
        </w:rPr>
      </w:pPr>
      <w:r>
        <w:rPr>
          <w:b/>
          <w:sz w:val="24"/>
        </w:rPr>
        <w:t>Gauvin. D. Bolduc. D. Chevalier. P. Levallois. P. Lévesque. B. 2006</w:t>
      </w:r>
      <w:r>
        <w:rPr>
          <w:sz w:val="24"/>
        </w:rPr>
        <w:t>. Réutilisation d’effluents de stations de traitement d’eaux usées domestiques pour l’irrigation d’un terrain de golf, Institut National de Santé Publique du Québec, Canada, 11 p.</w:t>
      </w:r>
    </w:p>
    <w:p>
      <w:pPr>
        <w:spacing w:line="357" w:lineRule="auto" w:before="206"/>
        <w:ind w:left="675" w:right="1797" w:firstLine="0"/>
        <w:jc w:val="left"/>
        <w:rPr>
          <w:sz w:val="24"/>
        </w:rPr>
      </w:pPr>
      <w:r>
        <w:rPr>
          <w:b/>
          <w:sz w:val="24"/>
        </w:rPr>
        <w:t>Henze. M. Vavloosdrecht. G. Brdjanovic. D. 2008.</w:t>
      </w:r>
      <w:r>
        <w:rPr>
          <w:sz w:val="24"/>
        </w:rPr>
        <w:t>Biological waste water treatment : principles, modelling and design, Technol Eng, 511p.</w:t>
      </w:r>
    </w:p>
    <w:p>
      <w:pPr>
        <w:spacing w:line="357" w:lineRule="auto" w:before="209"/>
        <w:ind w:left="675" w:right="1414" w:firstLine="0"/>
        <w:jc w:val="both"/>
        <w:rPr>
          <w:sz w:val="24"/>
        </w:rPr>
      </w:pPr>
      <w:r>
        <w:rPr>
          <w:b/>
          <w:sz w:val="24"/>
        </w:rPr>
        <w:t>Jungers. P. Choukroun. G. Robino. C. Taupin.P.Labrunie. M. Man. N. Landais. P. 2002. </w:t>
      </w:r>
      <w:r>
        <w:rPr>
          <w:sz w:val="24"/>
        </w:rPr>
        <w:t>Epidémiologie de l’insuffisance rénale terminale en Ile-de-France : une étude cooperative prospective. Néphrologie, 217-218p.</w:t>
      </w:r>
    </w:p>
    <w:p>
      <w:pPr>
        <w:spacing w:line="362" w:lineRule="auto" w:before="202"/>
        <w:ind w:left="675" w:right="2095" w:firstLine="0"/>
        <w:jc w:val="left"/>
        <w:rPr>
          <w:sz w:val="24"/>
        </w:rPr>
      </w:pPr>
      <w:r>
        <w:rPr>
          <w:b/>
          <w:sz w:val="24"/>
        </w:rPr>
        <w:t>Leyral. G. Ronnefoy. C. Guillet. F. 2002. </w:t>
      </w:r>
      <w:r>
        <w:rPr>
          <w:sz w:val="24"/>
        </w:rPr>
        <w:t>Microbiologie et qualité des industries agroalimentaire, Paris, 245p.</w:t>
      </w:r>
    </w:p>
    <w:p>
      <w:pPr>
        <w:spacing w:before="194"/>
        <w:ind w:left="675" w:right="0" w:firstLine="0"/>
        <w:jc w:val="left"/>
        <w:rPr>
          <w:sz w:val="24"/>
        </w:rPr>
      </w:pPr>
      <w:r>
        <w:rPr>
          <w:b/>
          <w:sz w:val="24"/>
        </w:rPr>
        <w:t>Marsily. G. 1995</w:t>
      </w:r>
      <w:r>
        <w:rPr>
          <w:sz w:val="24"/>
        </w:rPr>
        <w:t>. L’eau. Edition: Flammarion, Pris (France), 128p.</w:t>
      </w:r>
    </w:p>
    <w:p>
      <w:pPr>
        <w:pStyle w:val="BodyText"/>
        <w:spacing w:before="6"/>
        <w:rPr>
          <w:sz w:val="29"/>
        </w:rPr>
      </w:pPr>
    </w:p>
    <w:p>
      <w:pPr>
        <w:pStyle w:val="BodyText"/>
        <w:spacing w:line="357" w:lineRule="auto"/>
        <w:ind w:left="675" w:right="1797"/>
      </w:pPr>
      <w:r>
        <w:rPr>
          <w:b/>
        </w:rPr>
        <w:t>Montiel. A. 2004.</w:t>
      </w:r>
      <w:r>
        <w:rPr/>
        <w:t>Contrôle et préservation de la qualité microbiologique traitements de désinfection. Revue Française des Laboratoires, N ° 364.</w:t>
      </w:r>
    </w:p>
    <w:p>
      <w:pPr>
        <w:spacing w:before="205"/>
        <w:ind w:left="675" w:right="0" w:firstLine="0"/>
        <w:jc w:val="left"/>
        <w:rPr>
          <w:sz w:val="24"/>
        </w:rPr>
      </w:pPr>
      <w:r>
        <w:rPr>
          <w:b/>
          <w:sz w:val="24"/>
        </w:rPr>
        <w:t>Norme ISO22743 : </w:t>
      </w:r>
      <w:r>
        <w:rPr>
          <w:sz w:val="24"/>
        </w:rPr>
        <w:t>Dosage des sulfates.</w:t>
      </w:r>
    </w:p>
    <w:p>
      <w:pPr>
        <w:pStyle w:val="BodyText"/>
        <w:spacing w:before="2"/>
        <w:rPr>
          <w:sz w:val="29"/>
        </w:rPr>
      </w:pPr>
    </w:p>
    <w:p>
      <w:pPr>
        <w:spacing w:before="1"/>
        <w:ind w:left="675" w:right="0" w:firstLine="0"/>
        <w:jc w:val="left"/>
        <w:rPr>
          <w:sz w:val="24"/>
        </w:rPr>
      </w:pPr>
      <w:r>
        <w:rPr>
          <w:b/>
          <w:sz w:val="24"/>
        </w:rPr>
        <w:t>Norme ISO 6332 </w:t>
      </w:r>
      <w:r>
        <w:rPr>
          <w:sz w:val="24"/>
        </w:rPr>
        <w:t>détermination du fer méthode à l’orthophénanthroline.</w:t>
      </w:r>
    </w:p>
    <w:p>
      <w:pPr>
        <w:pStyle w:val="BodyText"/>
        <w:spacing w:before="6"/>
        <w:rPr>
          <w:sz w:val="29"/>
        </w:rPr>
      </w:pPr>
    </w:p>
    <w:p>
      <w:pPr>
        <w:spacing w:line="357" w:lineRule="auto" w:before="0"/>
        <w:ind w:left="675" w:right="2095" w:firstLine="0"/>
        <w:jc w:val="left"/>
        <w:rPr>
          <w:sz w:val="24"/>
        </w:rPr>
      </w:pPr>
      <w:r>
        <w:rPr>
          <w:b/>
          <w:sz w:val="24"/>
        </w:rPr>
        <w:t>Norme ISO 7899-2 et NF T 90-416 : </w:t>
      </w:r>
      <w:r>
        <w:rPr>
          <w:sz w:val="24"/>
        </w:rPr>
        <w:t>Recherche et dénombrement des entérocoques Intestinaux. Parie2, méthode par filtration sur membrane.</w:t>
      </w:r>
    </w:p>
    <w:p>
      <w:pPr>
        <w:spacing w:before="205"/>
        <w:ind w:left="675" w:right="0" w:firstLine="0"/>
        <w:jc w:val="left"/>
        <w:rPr>
          <w:sz w:val="24"/>
        </w:rPr>
      </w:pPr>
      <w:r>
        <w:rPr>
          <w:b/>
          <w:sz w:val="24"/>
        </w:rPr>
        <w:t>Norme ISO: 6878, </w:t>
      </w:r>
      <w:r>
        <w:rPr>
          <w:sz w:val="24"/>
        </w:rPr>
        <w:t>Determination des phosphates.</w:t>
      </w:r>
    </w:p>
    <w:p>
      <w:pPr>
        <w:pStyle w:val="BodyText"/>
        <w:spacing w:before="2"/>
        <w:rPr>
          <w:sz w:val="29"/>
        </w:rPr>
      </w:pPr>
    </w:p>
    <w:p>
      <w:pPr>
        <w:spacing w:line="362" w:lineRule="auto" w:before="0"/>
        <w:ind w:left="675" w:right="2095" w:firstLine="0"/>
        <w:jc w:val="left"/>
        <w:rPr>
          <w:sz w:val="24"/>
        </w:rPr>
      </w:pPr>
      <w:r>
        <w:rPr>
          <w:b/>
          <w:sz w:val="24"/>
        </w:rPr>
        <w:t>Norme NF EN ISO 9308-1 : </w:t>
      </w:r>
      <w:r>
        <w:rPr>
          <w:sz w:val="24"/>
        </w:rPr>
        <w:t>Recherche et dénombrement des </w:t>
      </w:r>
      <w:r>
        <w:rPr>
          <w:i/>
          <w:sz w:val="24"/>
        </w:rPr>
        <w:t>Escherichia coli </w:t>
      </w:r>
      <w:r>
        <w:rPr>
          <w:sz w:val="24"/>
        </w:rPr>
        <w:t>et des Bactéries coliformes partie 1. Méthode par filtration sur membrane.</w:t>
      </w:r>
    </w:p>
    <w:p>
      <w:pPr>
        <w:spacing w:before="195"/>
        <w:ind w:left="675" w:right="0" w:firstLine="0"/>
        <w:jc w:val="left"/>
        <w:rPr>
          <w:sz w:val="24"/>
        </w:rPr>
      </w:pPr>
      <w:r>
        <w:rPr>
          <w:b/>
          <w:sz w:val="24"/>
        </w:rPr>
        <w:t>Norme NF T 90-411: </w:t>
      </w:r>
      <w:r>
        <w:rPr>
          <w:sz w:val="24"/>
        </w:rPr>
        <w:t>Recherche et dénombrement des Streptocoque du groupe D.</w:t>
      </w:r>
    </w:p>
    <w:p>
      <w:pPr>
        <w:pStyle w:val="BodyText"/>
        <w:spacing w:before="5"/>
        <w:rPr>
          <w:sz w:val="29"/>
        </w:rPr>
      </w:pPr>
    </w:p>
    <w:p>
      <w:pPr>
        <w:pStyle w:val="BodyText"/>
        <w:spacing w:line="360" w:lineRule="auto" w:before="1"/>
        <w:ind w:left="675" w:right="1405"/>
        <w:jc w:val="both"/>
      </w:pPr>
      <w:r>
        <w:rPr>
          <w:b/>
        </w:rPr>
        <w:t>Norme NFT.90-415: </w:t>
      </w:r>
      <w:r>
        <w:rPr/>
        <w:t>Recherche et dénombrement des spores de bactéries anaérobie sulfito- réductrices et Clostridium sulfito-réducteurs. Méthode générale par incorporation en gélose en tube profond.</w:t>
      </w:r>
    </w:p>
    <w:p>
      <w:pPr>
        <w:spacing w:line="362" w:lineRule="auto" w:before="197"/>
        <w:ind w:left="675" w:right="1797" w:firstLine="0"/>
        <w:jc w:val="left"/>
        <w:rPr>
          <w:sz w:val="24"/>
        </w:rPr>
      </w:pPr>
      <w:r>
        <w:rPr>
          <w:b/>
          <w:sz w:val="24"/>
        </w:rPr>
        <w:t>OMS (Organisation mondiale de santé). 1994. </w:t>
      </w:r>
      <w:r>
        <w:rPr>
          <w:sz w:val="24"/>
        </w:rPr>
        <w:t>Directives de qualité de l’eau de boisson deuxième édition, vol1. Recommandation Genève. OMS, p 8-30</w:t>
      </w:r>
    </w:p>
    <w:p>
      <w:pPr>
        <w:spacing w:after="0" w:line="362" w:lineRule="auto"/>
        <w:jc w:val="left"/>
        <w:rPr>
          <w:sz w:val="24"/>
        </w:rPr>
        <w:sectPr>
          <w:headerReference w:type="default" r:id="rId149"/>
          <w:footerReference w:type="default" r:id="rId150"/>
          <w:pgSz w:w="11900" w:h="16840"/>
          <w:pgMar w:header="733" w:footer="0" w:top="1080" w:bottom="280" w:left="740" w:right="0"/>
        </w:sectPr>
      </w:pPr>
    </w:p>
    <w:p>
      <w:pPr>
        <w:pStyle w:val="BodyText"/>
        <w:rPr>
          <w:sz w:val="25"/>
        </w:rPr>
      </w:pPr>
    </w:p>
    <w:p>
      <w:pPr>
        <w:spacing w:line="357" w:lineRule="auto" w:before="90"/>
        <w:ind w:left="675" w:right="1797" w:firstLine="0"/>
        <w:jc w:val="left"/>
        <w:rPr>
          <w:sz w:val="24"/>
        </w:rPr>
      </w:pPr>
      <w:r>
        <w:rPr>
          <w:b/>
          <w:sz w:val="24"/>
        </w:rPr>
        <w:t>OMS (Organisation mondiale de santé). 2011. </w:t>
      </w:r>
      <w:r>
        <w:rPr>
          <w:sz w:val="24"/>
        </w:rPr>
        <w:t>Directives de qualité de l’eau de boisson Quatrième édition, vol1. Recommandation Genève.</w:t>
      </w:r>
    </w:p>
    <w:p>
      <w:pPr>
        <w:spacing w:line="362" w:lineRule="auto" w:before="201"/>
        <w:ind w:left="675" w:right="1653" w:firstLine="0"/>
        <w:jc w:val="left"/>
        <w:rPr>
          <w:sz w:val="24"/>
        </w:rPr>
      </w:pPr>
      <w:r>
        <w:rPr>
          <w:b/>
          <w:sz w:val="24"/>
        </w:rPr>
        <w:t>ONS (Office National des Statistiques). 2011. </w:t>
      </w:r>
      <w:r>
        <w:rPr>
          <w:sz w:val="24"/>
        </w:rPr>
        <w:t>Recensement général de la population et de l’habitat. Armature urbaine. Collections Statistiques n° 163/2011, Algérie, 213 p.</w:t>
      </w:r>
    </w:p>
    <w:p>
      <w:pPr>
        <w:spacing w:before="195"/>
        <w:ind w:left="675" w:right="0" w:firstLine="0"/>
        <w:jc w:val="left"/>
        <w:rPr>
          <w:sz w:val="24"/>
        </w:rPr>
      </w:pPr>
      <w:r>
        <w:rPr>
          <w:b/>
          <w:sz w:val="24"/>
        </w:rPr>
        <w:t>Ouahdi A. 1995. </w:t>
      </w:r>
      <w:r>
        <w:rPr>
          <w:sz w:val="24"/>
        </w:rPr>
        <w:t>Les maladies à transmission hydrique. Santé plus Alger. N°45.</w:t>
      </w:r>
    </w:p>
    <w:p>
      <w:pPr>
        <w:pStyle w:val="BodyText"/>
        <w:spacing w:before="5"/>
        <w:rPr>
          <w:sz w:val="29"/>
        </w:rPr>
      </w:pPr>
    </w:p>
    <w:p>
      <w:pPr>
        <w:pStyle w:val="BodyText"/>
        <w:spacing w:line="357" w:lineRule="auto" w:before="1"/>
        <w:ind w:left="675" w:right="2001"/>
      </w:pPr>
      <w:r>
        <w:rPr>
          <w:b/>
        </w:rPr>
        <w:t>Rodier. J. 2008, </w:t>
      </w:r>
      <w:r>
        <w:rPr/>
        <w:t>Analyse de l’eau naturelle et des eaux résiduaires et eaux de mers. 8</w:t>
      </w:r>
      <w:r>
        <w:rPr>
          <w:vertAlign w:val="superscript"/>
        </w:rPr>
        <w:t>ème</w:t>
      </w:r>
      <w:r>
        <w:rPr>
          <w:vertAlign w:val="baseline"/>
        </w:rPr>
        <w:t> édition DUNOD, Paris, France, 1578p.</w:t>
      </w:r>
    </w:p>
    <w:p>
      <w:pPr>
        <w:spacing w:before="205"/>
        <w:ind w:left="675" w:right="0" w:firstLine="0"/>
        <w:jc w:val="left"/>
        <w:rPr>
          <w:sz w:val="24"/>
        </w:rPr>
      </w:pPr>
      <w:r>
        <w:rPr>
          <w:b/>
          <w:sz w:val="24"/>
        </w:rPr>
        <w:t>Rodier.J. 2009. </w:t>
      </w:r>
      <w:r>
        <w:rPr>
          <w:sz w:val="24"/>
        </w:rPr>
        <w:t>Analyse de l’eau.-9ème Ed, Paris : Dunod, France, 75- 729p.</w:t>
      </w:r>
    </w:p>
    <w:p>
      <w:pPr>
        <w:pStyle w:val="BodyText"/>
        <w:spacing w:before="2"/>
        <w:rPr>
          <w:sz w:val="29"/>
        </w:rPr>
      </w:pPr>
    </w:p>
    <w:p>
      <w:pPr>
        <w:spacing w:line="362" w:lineRule="auto" w:before="0"/>
        <w:ind w:left="675" w:right="1450" w:firstLine="0"/>
        <w:jc w:val="left"/>
        <w:rPr>
          <w:sz w:val="24"/>
        </w:rPr>
      </w:pPr>
      <w:r>
        <w:rPr>
          <w:b/>
          <w:sz w:val="24"/>
        </w:rPr>
        <w:t>Sanni. M.Klissou. P. Marcoux. R.Tabutin. D. 2009. </w:t>
      </w:r>
      <w:r>
        <w:rPr>
          <w:sz w:val="24"/>
        </w:rPr>
        <w:t>villes du sud dynamiques, diversités et enjeux démographiques et sociaux, Éditions des archives, Paris, 328 p.</w:t>
      </w:r>
    </w:p>
    <w:p>
      <w:pPr>
        <w:pStyle w:val="BodyText"/>
        <w:spacing w:before="9"/>
        <w:rPr>
          <w:sz w:val="23"/>
        </w:rPr>
      </w:pPr>
    </w:p>
    <w:p>
      <w:pPr>
        <w:pStyle w:val="BodyText"/>
        <w:spacing w:line="362" w:lineRule="auto" w:before="1"/>
        <w:ind w:left="675" w:right="2095"/>
      </w:pPr>
      <w:r>
        <w:rPr>
          <w:b/>
        </w:rPr>
        <w:t>Sardi. K. 2014. </w:t>
      </w:r>
      <w:r>
        <w:rPr/>
        <w:t>Contrôle de la qualité de l’eau de la station d’hémodialyse De l’EHU 1erNovembre, Mémoire de master, Université Mohamed Boudiaf, Oran, 7p.</w:t>
      </w:r>
    </w:p>
    <w:p>
      <w:pPr>
        <w:pStyle w:val="BodyText"/>
        <w:spacing w:before="9"/>
        <w:rPr>
          <w:sz w:val="23"/>
        </w:rPr>
      </w:pPr>
    </w:p>
    <w:p>
      <w:pPr>
        <w:pStyle w:val="BodyText"/>
        <w:spacing w:line="362" w:lineRule="auto"/>
        <w:ind w:left="675" w:right="1450"/>
      </w:pPr>
      <w:r>
        <w:rPr>
          <w:b/>
        </w:rPr>
        <w:t>Sasson. D. 2005. </w:t>
      </w:r>
      <w:r>
        <w:rPr/>
        <w:t>Les maladies liées à l’eau,le colloque international sur les ressources en eau souterraine dans le Sahara,Ciress Ouargla, 145 p.</w:t>
      </w:r>
    </w:p>
    <w:p>
      <w:pPr>
        <w:pStyle w:val="BodyText"/>
        <w:spacing w:line="360" w:lineRule="auto" w:before="194"/>
        <w:ind w:left="675" w:right="1555"/>
        <w:jc w:val="both"/>
      </w:pPr>
      <w:r>
        <w:rPr>
          <w:b/>
        </w:rPr>
        <w:t>Schwartzbrod. L. 2000. </w:t>
      </w:r>
      <w:r>
        <w:rPr/>
        <w:t>Virus humains et santé publique : conséquences de l’utilisation des eaux usées et des boues en agriculture et conchyliculture. Centre collaborateur OMS pour</w:t>
      </w:r>
      <w:r>
        <w:rPr>
          <w:spacing w:val="-26"/>
        </w:rPr>
        <w:t> </w:t>
      </w:r>
      <w:r>
        <w:rPr/>
        <w:t>les micro-organismes dans les eaux usées, Université de Nancy, France, 292</w:t>
      </w:r>
      <w:r>
        <w:rPr>
          <w:spacing w:val="-13"/>
        </w:rPr>
        <w:t> </w:t>
      </w:r>
      <w:r>
        <w:rPr/>
        <w:t>p.</w:t>
      </w:r>
    </w:p>
    <w:p>
      <w:pPr>
        <w:pStyle w:val="BodyText"/>
        <w:spacing w:line="360" w:lineRule="auto" w:before="202"/>
        <w:ind w:left="675" w:right="1604"/>
        <w:jc w:val="both"/>
      </w:pPr>
      <w:r>
        <w:rPr>
          <w:b/>
        </w:rPr>
        <w:t>Verhille. S. 2013. </w:t>
      </w:r>
      <w:r>
        <w:rPr/>
        <w:t>Les indicateurs microbiens dans l’évaluation de l’eau potable : interpréter les résultats de laboratoire et comprendre leur signification pour la santé publique, Centre de collaboration nationale en santé environnementale, Canada.</w:t>
      </w:r>
    </w:p>
    <w:p>
      <w:pPr>
        <w:pStyle w:val="BodyText"/>
        <w:spacing w:before="6"/>
        <w:rPr>
          <w:sz w:val="13"/>
        </w:rPr>
      </w:pPr>
    </w:p>
    <w:p>
      <w:pPr>
        <w:pStyle w:val="BodyText"/>
        <w:spacing w:line="357" w:lineRule="auto" w:before="90"/>
        <w:ind w:left="675" w:right="1450"/>
      </w:pPr>
      <w:r>
        <w:rPr>
          <w:b/>
        </w:rPr>
        <w:t>Valentin. N. 2000</w:t>
      </w:r>
      <w:r>
        <w:rPr/>
        <w:t>. Gestion des eaux : Alimentation en eau assainissement. Presses de l’école nationale des ponts et chaussées, Paris.</w:t>
      </w:r>
    </w:p>
    <w:p>
      <w:pPr>
        <w:pStyle w:val="BodyText"/>
        <w:spacing w:before="9"/>
      </w:pPr>
    </w:p>
    <w:p>
      <w:pPr>
        <w:spacing w:before="0"/>
        <w:ind w:left="675" w:right="0" w:firstLine="0"/>
        <w:jc w:val="left"/>
        <w:rPr>
          <w:sz w:val="24"/>
        </w:rPr>
      </w:pPr>
      <w:r>
        <w:rPr>
          <w:b/>
          <w:sz w:val="24"/>
        </w:rPr>
        <w:t>Xavier. N. Hervé G. Patrick. L. 2007.</w:t>
      </w:r>
      <w:r>
        <w:rPr>
          <w:sz w:val="24"/>
        </w:rPr>
        <w:t>Shigellose ou dysenterie bacillaire, 36p.</w:t>
      </w:r>
    </w:p>
    <w:p>
      <w:pPr>
        <w:pStyle w:val="BodyText"/>
        <w:spacing w:before="2"/>
        <w:rPr>
          <w:sz w:val="29"/>
        </w:rPr>
      </w:pPr>
    </w:p>
    <w:p>
      <w:pPr>
        <w:pStyle w:val="BodyText"/>
        <w:spacing w:line="360" w:lineRule="auto" w:before="1"/>
        <w:ind w:left="675" w:right="2095"/>
      </w:pPr>
      <w:r>
        <w:rPr>
          <w:b/>
        </w:rPr>
        <w:t>Zouaidia. H. 2006</w:t>
      </w:r>
      <w:r>
        <w:rPr/>
        <w:t>. Bilan des incendies de forêts dans l’Est Algérien: Cas de Mila, Constantine, Guelma et Souk-Ahras, Mémoire de Magister, Université de Constantine, Algérie, 135 p.</w:t>
      </w:r>
    </w:p>
    <w:p>
      <w:pPr>
        <w:spacing w:after="0" w:line="360" w:lineRule="auto"/>
        <w:sectPr>
          <w:headerReference w:type="default" r:id="rId151"/>
          <w:footerReference w:type="default" r:id="rId152"/>
          <w:pgSz w:w="11900" w:h="16840"/>
          <w:pgMar w:header="733" w:footer="0" w:top="1080" w:bottom="280" w:left="740" w:right="0"/>
        </w:sectPr>
      </w:pPr>
    </w:p>
    <w:p>
      <w:pPr>
        <w:pStyle w:val="BodyText"/>
        <w:spacing w:before="3"/>
        <w:rPr>
          <w:sz w:val="21"/>
        </w:rPr>
      </w:pPr>
    </w:p>
    <w:p>
      <w:pPr>
        <w:pStyle w:val="Heading3"/>
      </w:pPr>
      <w:r>
        <w:rPr/>
        <w:t>Webographie :</w:t>
      </w:r>
    </w:p>
    <w:p>
      <w:pPr>
        <w:pStyle w:val="BodyText"/>
        <w:spacing w:before="2"/>
        <w:rPr>
          <w:b/>
          <w:sz w:val="38"/>
        </w:rPr>
      </w:pPr>
    </w:p>
    <w:p>
      <w:pPr>
        <w:pStyle w:val="ListParagraph"/>
        <w:numPr>
          <w:ilvl w:val="0"/>
          <w:numId w:val="31"/>
        </w:numPr>
        <w:tabs>
          <w:tab w:pos="1016" w:val="left" w:leader="none"/>
        </w:tabs>
        <w:spacing w:line="240" w:lineRule="auto" w:before="0" w:after="0"/>
        <w:ind w:left="1015" w:right="0" w:hanging="340"/>
        <w:jc w:val="left"/>
        <w:rPr>
          <w:sz w:val="24"/>
        </w:rPr>
      </w:pPr>
      <w:hyperlink r:id="rId155">
        <w:r>
          <w:rPr>
            <w:sz w:val="24"/>
          </w:rPr>
          <w:t>http://www.lenntech.fr/francais/eaux-souterraines/proprietes.htm, </w:t>
        </w:r>
      </w:hyperlink>
      <w:r>
        <w:rPr>
          <w:sz w:val="24"/>
        </w:rPr>
        <w:t>consulté le</w:t>
      </w:r>
      <w:r>
        <w:rPr>
          <w:spacing w:val="-3"/>
          <w:sz w:val="24"/>
        </w:rPr>
        <w:t> </w:t>
      </w:r>
      <w:r>
        <w:rPr>
          <w:sz w:val="24"/>
        </w:rPr>
        <w:t>05/04/2016</w:t>
      </w:r>
    </w:p>
    <w:p>
      <w:pPr>
        <w:pStyle w:val="BodyText"/>
        <w:spacing w:before="2"/>
        <w:rPr>
          <w:sz w:val="29"/>
        </w:rPr>
      </w:pPr>
    </w:p>
    <w:p>
      <w:pPr>
        <w:pStyle w:val="ListParagraph"/>
        <w:numPr>
          <w:ilvl w:val="0"/>
          <w:numId w:val="31"/>
        </w:numPr>
        <w:tabs>
          <w:tab w:pos="1016" w:val="left" w:leader="none"/>
        </w:tabs>
        <w:spacing w:line="362" w:lineRule="auto" w:before="0" w:after="0"/>
        <w:ind w:left="675" w:right="1765" w:firstLine="0"/>
        <w:jc w:val="left"/>
        <w:rPr>
          <w:sz w:val="24"/>
        </w:rPr>
      </w:pPr>
      <w:hyperlink r:id="rId156">
        <w:r>
          <w:rPr>
            <w:spacing w:val="-1"/>
            <w:sz w:val="24"/>
          </w:rPr>
          <w:t>http://www.sciencesetavenir.fr/sante/20110617.OBS5354/escherichia-coli-une-souche-</w:t>
        </w:r>
      </w:hyperlink>
      <w:r>
        <w:rPr>
          <w:spacing w:val="-1"/>
          <w:sz w:val="24"/>
        </w:rPr>
        <w:t> </w:t>
      </w:r>
      <w:r>
        <w:rPr>
          <w:sz w:val="24"/>
        </w:rPr>
        <w:t>classique-impliquee-dans-le-nord.html consulté le</w:t>
      </w:r>
      <w:r>
        <w:rPr>
          <w:spacing w:val="2"/>
          <w:sz w:val="24"/>
        </w:rPr>
        <w:t> </w:t>
      </w:r>
      <w:r>
        <w:rPr>
          <w:sz w:val="24"/>
        </w:rPr>
        <w:t>25/04/2016</w:t>
      </w:r>
    </w:p>
    <w:p>
      <w:pPr>
        <w:pStyle w:val="ListParagraph"/>
        <w:numPr>
          <w:ilvl w:val="0"/>
          <w:numId w:val="31"/>
        </w:numPr>
        <w:tabs>
          <w:tab w:pos="1016" w:val="left" w:leader="none"/>
        </w:tabs>
        <w:spacing w:line="240" w:lineRule="auto" w:before="194" w:after="0"/>
        <w:ind w:left="1015" w:right="0" w:hanging="340"/>
        <w:jc w:val="left"/>
        <w:rPr>
          <w:sz w:val="24"/>
        </w:rPr>
      </w:pPr>
      <w:hyperlink r:id="rId157">
        <w:r>
          <w:rPr>
            <w:sz w:val="24"/>
          </w:rPr>
          <w:t>http://www.ecolab.com/innovation/microbial-risks/campylobacter/ </w:t>
        </w:r>
      </w:hyperlink>
      <w:r>
        <w:rPr>
          <w:sz w:val="24"/>
        </w:rPr>
        <w:t>consulté le</w:t>
      </w:r>
      <w:r>
        <w:rPr>
          <w:spacing w:val="-2"/>
          <w:sz w:val="24"/>
        </w:rPr>
        <w:t> </w:t>
      </w:r>
      <w:r>
        <w:rPr>
          <w:sz w:val="24"/>
        </w:rPr>
        <w:t>25/04/2016</w:t>
      </w:r>
    </w:p>
    <w:p>
      <w:pPr>
        <w:pStyle w:val="BodyText"/>
        <w:spacing w:before="6"/>
        <w:rPr>
          <w:sz w:val="29"/>
        </w:rPr>
      </w:pPr>
    </w:p>
    <w:p>
      <w:pPr>
        <w:pStyle w:val="ListParagraph"/>
        <w:numPr>
          <w:ilvl w:val="0"/>
          <w:numId w:val="31"/>
        </w:numPr>
        <w:tabs>
          <w:tab w:pos="1076" w:val="left" w:leader="none"/>
        </w:tabs>
        <w:spacing w:line="240" w:lineRule="auto" w:before="0" w:after="0"/>
        <w:ind w:left="1075" w:right="0" w:hanging="340"/>
        <w:jc w:val="left"/>
        <w:rPr>
          <w:sz w:val="24"/>
        </w:rPr>
      </w:pPr>
      <w:hyperlink r:id="rId158">
        <w:r>
          <w:rPr>
            <w:sz w:val="24"/>
          </w:rPr>
          <w:t>www.lenntech.com </w:t>
        </w:r>
      </w:hyperlink>
      <w:r>
        <w:rPr>
          <w:sz w:val="24"/>
        </w:rPr>
        <w:t>: Maladies hydriques- Lenntech.htm. Consulté le</w:t>
      </w:r>
      <w:r>
        <w:rPr>
          <w:spacing w:val="1"/>
          <w:sz w:val="24"/>
        </w:rPr>
        <w:t> </w:t>
      </w:r>
      <w:r>
        <w:rPr>
          <w:sz w:val="24"/>
        </w:rPr>
        <w:t>20/04/2016</w:t>
      </w:r>
    </w:p>
    <w:p>
      <w:pPr>
        <w:pStyle w:val="BodyText"/>
        <w:spacing w:before="3"/>
        <w:rPr>
          <w:sz w:val="29"/>
        </w:rPr>
      </w:pPr>
    </w:p>
    <w:p>
      <w:pPr>
        <w:pStyle w:val="ListParagraph"/>
        <w:numPr>
          <w:ilvl w:val="0"/>
          <w:numId w:val="31"/>
        </w:numPr>
        <w:tabs>
          <w:tab w:pos="1016" w:val="left" w:leader="none"/>
        </w:tabs>
        <w:spacing w:line="240" w:lineRule="auto" w:before="0" w:after="0"/>
        <w:ind w:left="1015" w:right="0" w:hanging="340"/>
        <w:jc w:val="left"/>
        <w:rPr>
          <w:sz w:val="24"/>
        </w:rPr>
      </w:pPr>
      <w:hyperlink r:id="rId159">
        <w:r>
          <w:rPr>
            <w:sz w:val="24"/>
          </w:rPr>
          <w:t>http://www.lenntech.fr/bibliotheque/maladies/fluorose/maladie-hydrique/fluorose.htm.</w:t>
        </w:r>
      </w:hyperlink>
    </w:p>
    <w:p>
      <w:pPr>
        <w:pStyle w:val="BodyText"/>
        <w:spacing w:before="140"/>
        <w:ind w:left="675"/>
      </w:pPr>
      <w:r>
        <w:rPr/>
        <w:t>Consulté le:03/04/2016</w:t>
      </w:r>
    </w:p>
    <w:p>
      <w:pPr>
        <w:pStyle w:val="BodyText"/>
        <w:spacing w:before="1"/>
        <w:rPr>
          <w:sz w:val="36"/>
        </w:rPr>
      </w:pPr>
    </w:p>
    <w:p>
      <w:pPr>
        <w:pStyle w:val="ListParagraph"/>
        <w:numPr>
          <w:ilvl w:val="0"/>
          <w:numId w:val="31"/>
        </w:numPr>
        <w:tabs>
          <w:tab w:pos="1016" w:val="left" w:leader="none"/>
        </w:tabs>
        <w:spacing w:line="362" w:lineRule="auto" w:before="1" w:after="0"/>
        <w:ind w:left="675" w:right="1841" w:firstLine="0"/>
        <w:jc w:val="left"/>
        <w:rPr>
          <w:sz w:val="24"/>
        </w:rPr>
      </w:pPr>
      <w:hyperlink r:id="rId160">
        <w:r>
          <w:rPr>
            <w:spacing w:val="-1"/>
            <w:sz w:val="24"/>
          </w:rPr>
          <w:t>http://www.futura-sciences.com/magazines/environnement/infos/qr/d/eau-sont-etapes-</w:t>
        </w:r>
      </w:hyperlink>
      <w:r>
        <w:rPr>
          <w:spacing w:val="-1"/>
          <w:sz w:val="24"/>
        </w:rPr>
        <w:t> </w:t>
      </w:r>
      <w:r>
        <w:rPr>
          <w:sz w:val="24"/>
        </w:rPr>
        <w:t>traitement-eau-potable-1124/ consulté le</w:t>
      </w:r>
      <w:r>
        <w:rPr>
          <w:spacing w:val="-6"/>
          <w:sz w:val="24"/>
        </w:rPr>
        <w:t> </w:t>
      </w:r>
      <w:r>
        <w:rPr>
          <w:sz w:val="24"/>
        </w:rPr>
        <w:t>29/04/2016</w:t>
      </w:r>
    </w:p>
    <w:p>
      <w:pPr>
        <w:spacing w:after="0" w:line="362" w:lineRule="auto"/>
        <w:jc w:val="left"/>
        <w:rPr>
          <w:sz w:val="24"/>
        </w:rPr>
        <w:sectPr>
          <w:headerReference w:type="default" r:id="rId153"/>
          <w:footerReference w:type="default" r:id="rId154"/>
          <w:pgSz w:w="11900" w:h="16840"/>
          <w:pgMar w:header="733" w:footer="0" w:top="1080" w:bottom="280" w:left="74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7"/>
        </w:rPr>
      </w:pPr>
    </w:p>
    <w:p>
      <w:pPr>
        <w:spacing w:before="38"/>
        <w:ind w:left="2610" w:right="0" w:firstLine="0"/>
        <w:jc w:val="left"/>
        <w:rPr>
          <w:b/>
          <w:sz w:val="144"/>
        </w:rPr>
      </w:pPr>
      <w:r>
        <w:rPr>
          <w:b/>
          <w:color w:val="8063A1"/>
          <w:sz w:val="144"/>
        </w:rPr>
        <w:t>Annexes</w:t>
      </w:r>
    </w:p>
    <w:p>
      <w:pPr>
        <w:spacing w:after="0"/>
        <w:jc w:val="left"/>
        <w:rPr>
          <w:sz w:val="144"/>
        </w:rPr>
        <w:sectPr>
          <w:headerReference w:type="default" r:id="rId161"/>
          <w:footerReference w:type="default" r:id="rId162"/>
          <w:pgSz w:w="11900" w:h="16840"/>
          <w:pgMar w:header="0" w:footer="0" w:top="1600" w:bottom="280" w:left="740" w:right="0"/>
          <w:pgBorders w:offsetFrom="page">
            <w:top w:val="single" w:color="000000" w:space="24" w:sz="36"/>
            <w:left w:val="single" w:color="000000" w:space="24" w:sz="36"/>
            <w:bottom w:val="single" w:color="000000" w:space="24" w:sz="36"/>
            <w:right w:val="single" w:color="000000" w:space="23" w:sz="36"/>
          </w:pgBorders>
        </w:sectPr>
      </w:pPr>
    </w:p>
    <w:p>
      <w:pPr>
        <w:spacing w:before="68"/>
        <w:ind w:left="3554" w:right="0" w:firstLine="0"/>
        <w:jc w:val="left"/>
        <w:rPr>
          <w:b/>
          <w:sz w:val="32"/>
        </w:rPr>
      </w:pPr>
      <w:r>
        <w:rPr>
          <w:b/>
          <w:sz w:val="32"/>
        </w:rPr>
        <w:t>ANNEXES</w:t>
      </w:r>
    </w:p>
    <w:p>
      <w:pPr>
        <w:pStyle w:val="BodyText"/>
        <w:spacing w:before="5"/>
        <w:rPr>
          <w:b/>
          <w:sz w:val="33"/>
        </w:rPr>
      </w:pPr>
    </w:p>
    <w:p>
      <w:pPr>
        <w:pStyle w:val="Heading3"/>
        <w:numPr>
          <w:ilvl w:val="1"/>
          <w:numId w:val="31"/>
        </w:numPr>
        <w:tabs>
          <w:tab w:pos="3359" w:val="left" w:leader="none"/>
        </w:tabs>
        <w:spacing w:line="240" w:lineRule="auto" w:before="0" w:after="0"/>
        <w:ind w:left="3358" w:right="0" w:hanging="360"/>
        <w:jc w:val="left"/>
      </w:pPr>
      <w:r>
        <w:rPr/>
        <w:t>Les milieux de</w:t>
      </w:r>
      <w:r>
        <w:rPr>
          <w:spacing w:val="1"/>
        </w:rPr>
        <w:t> </w:t>
      </w:r>
      <w:r>
        <w:rPr/>
        <w:t>culture</w:t>
      </w:r>
    </w:p>
    <w:p>
      <w:pPr>
        <w:pStyle w:val="BodyText"/>
        <w:spacing w:before="2"/>
        <w:rPr>
          <w:b/>
          <w:sz w:val="31"/>
        </w:rPr>
      </w:pPr>
    </w:p>
    <w:p>
      <w:pPr>
        <w:pStyle w:val="BodyText"/>
        <w:spacing w:before="1"/>
        <w:ind w:left="675"/>
      </w:pPr>
      <w:r>
        <w:rPr/>
        <w:t>La formule de se milieu de culture en g/l d’eau distillée est :</w:t>
      </w:r>
    </w:p>
    <w:p>
      <w:pPr>
        <w:pStyle w:val="BodyText"/>
        <w:spacing w:before="6"/>
        <w:rPr>
          <w:sz w:val="29"/>
        </w:rPr>
      </w:pPr>
    </w:p>
    <w:p>
      <w:pPr>
        <w:pStyle w:val="Heading4"/>
        <w:numPr>
          <w:ilvl w:val="1"/>
          <w:numId w:val="32"/>
        </w:numPr>
        <w:tabs>
          <w:tab w:pos="1096" w:val="left" w:leader="none"/>
        </w:tabs>
        <w:spacing w:line="240" w:lineRule="auto" w:before="0" w:after="0"/>
        <w:ind w:left="1095" w:right="0" w:hanging="420"/>
        <w:jc w:val="left"/>
      </w:pPr>
      <w:r>
        <w:rPr/>
        <w:t>Milieux </w:t>
      </w:r>
      <w:r>
        <w:rPr>
          <w:spacing w:val="-3"/>
        </w:rPr>
        <w:t>de </w:t>
      </w:r>
      <w:r>
        <w:rPr/>
        <w:t>Schubert</w:t>
      </w:r>
      <w:r>
        <w:rPr>
          <w:spacing w:val="5"/>
        </w:rPr>
        <w:t> </w:t>
      </w:r>
      <w:r>
        <w:rPr/>
        <w:t>:</w:t>
      </w:r>
    </w:p>
    <w:p>
      <w:pPr>
        <w:pStyle w:val="BodyText"/>
        <w:spacing w:before="2"/>
        <w:rPr>
          <w:b/>
          <w:sz w:val="29"/>
        </w:rPr>
      </w:pPr>
    </w:p>
    <w:p>
      <w:pPr>
        <w:pStyle w:val="BodyText"/>
        <w:tabs>
          <w:tab w:pos="6458" w:val="left" w:leader="dot"/>
        </w:tabs>
        <w:spacing w:line="532" w:lineRule="auto"/>
        <w:ind w:left="675" w:right="4397"/>
      </w:pPr>
      <w:r>
        <w:rPr/>
        <w:t>Tryptophane</w:t>
        <w:tab/>
      </w:r>
      <w:r>
        <w:rPr>
          <w:spacing w:val="-5"/>
        </w:rPr>
        <w:t>0,2 </w:t>
      </w:r>
      <w:r>
        <w:rPr/>
        <w:t>Acide</w:t>
      </w:r>
      <w:r>
        <w:rPr>
          <w:spacing w:val="-1"/>
        </w:rPr>
        <w:t> </w:t>
      </w:r>
      <w:r>
        <w:rPr/>
        <w:t>glutamique</w:t>
        <w:tab/>
      </w:r>
      <w:r>
        <w:rPr>
          <w:spacing w:val="-6"/>
        </w:rPr>
        <w:t>0,2</w:t>
      </w:r>
    </w:p>
    <w:p>
      <w:pPr>
        <w:pStyle w:val="BodyText"/>
        <w:tabs>
          <w:tab w:pos="6433" w:val="left" w:leader="dot"/>
        </w:tabs>
        <w:spacing w:before="3"/>
        <w:ind w:left="675"/>
      </w:pPr>
      <w:r>
        <w:rPr/>
        <w:t>Sulfate de</w:t>
      </w:r>
      <w:r>
        <w:rPr>
          <w:spacing w:val="-4"/>
        </w:rPr>
        <w:t> </w:t>
      </w:r>
      <w:r>
        <w:rPr/>
        <w:t>magnésium</w:t>
      </w:r>
      <w:r>
        <w:rPr>
          <w:spacing w:val="-2"/>
        </w:rPr>
        <w:t> </w:t>
      </w:r>
      <w:r>
        <w:rPr/>
        <w:t>(anhydre)…</w:t>
        <w:tab/>
        <w:t>0,7</w:t>
      </w:r>
    </w:p>
    <w:p>
      <w:pPr>
        <w:pStyle w:val="BodyText"/>
        <w:spacing w:before="2"/>
        <w:rPr>
          <w:sz w:val="29"/>
        </w:rPr>
      </w:pPr>
    </w:p>
    <w:p>
      <w:pPr>
        <w:pStyle w:val="BodyText"/>
        <w:tabs>
          <w:tab w:pos="6480" w:val="left" w:leader="dot"/>
        </w:tabs>
        <w:ind w:left="675"/>
      </w:pPr>
      <w:r>
        <w:rPr/>
        <w:t>Sulfate</w:t>
      </w:r>
      <w:r>
        <w:rPr>
          <w:spacing w:val="-1"/>
        </w:rPr>
        <w:t> </w:t>
      </w:r>
      <w:r>
        <w:rPr/>
        <w:t>d’ammonium</w:t>
        <w:tab/>
        <w:t>0,4</w:t>
      </w:r>
    </w:p>
    <w:p>
      <w:pPr>
        <w:pStyle w:val="BodyText"/>
        <w:spacing w:before="6"/>
        <w:rPr>
          <w:sz w:val="29"/>
        </w:rPr>
      </w:pPr>
    </w:p>
    <w:p>
      <w:pPr>
        <w:pStyle w:val="BodyText"/>
        <w:tabs>
          <w:tab w:pos="6517" w:val="left" w:leader="dot"/>
        </w:tabs>
        <w:ind w:left="675"/>
      </w:pPr>
      <w:r>
        <w:rPr/>
        <w:t>Citrate de sodium</w:t>
        <w:tab/>
        <w:t>0,5</w:t>
      </w:r>
    </w:p>
    <w:p>
      <w:pPr>
        <w:pStyle w:val="BodyText"/>
        <w:tabs>
          <w:tab w:pos="6657" w:val="left" w:leader="dot"/>
        </w:tabs>
        <w:spacing w:before="336"/>
        <w:ind w:left="675"/>
      </w:pPr>
      <w:r>
        <w:rPr/>
        <w:t>Chlorure de</w:t>
      </w:r>
      <w:r>
        <w:rPr>
          <w:spacing w:val="1"/>
        </w:rPr>
        <w:t> </w:t>
      </w:r>
      <w:r>
        <w:rPr/>
        <w:t>sodium</w:t>
        <w:tab/>
        <w:t>2</w:t>
      </w:r>
    </w:p>
    <w:p>
      <w:pPr>
        <w:pStyle w:val="BodyText"/>
        <w:tabs>
          <w:tab w:pos="6602" w:val="left" w:leader="dot"/>
        </w:tabs>
        <w:spacing w:before="340"/>
        <w:ind w:left="675"/>
      </w:pPr>
      <w:r>
        <w:rPr/>
        <w:t>Peptone</w:t>
        <w:tab/>
        <w:t>10</w:t>
      </w:r>
    </w:p>
    <w:p>
      <w:pPr>
        <w:pStyle w:val="BodyText"/>
        <w:tabs>
          <w:tab w:pos="6590" w:val="left" w:leader="dot"/>
        </w:tabs>
        <w:spacing w:before="335"/>
        <w:ind w:left="675"/>
      </w:pPr>
      <w:r>
        <w:rPr/>
        <w:t>Mannitol</w:t>
        <w:tab/>
        <w:t>7,5</w:t>
      </w:r>
    </w:p>
    <w:p>
      <w:pPr>
        <w:pStyle w:val="BodyText"/>
        <w:tabs>
          <w:tab w:pos="6609" w:val="left" w:leader="dot"/>
        </w:tabs>
        <w:spacing w:before="340"/>
        <w:ind w:left="675"/>
      </w:pPr>
      <w:r>
        <w:rPr/>
        <w:t>Phosphate</w:t>
      </w:r>
      <w:r>
        <w:rPr>
          <w:spacing w:val="-1"/>
        </w:rPr>
        <w:t> </w:t>
      </w:r>
      <w:r>
        <w:rPr/>
        <w:t>disodique</w:t>
        <w:tab/>
        <w:t>4</w:t>
      </w:r>
    </w:p>
    <w:p>
      <w:pPr>
        <w:pStyle w:val="BodyText"/>
        <w:tabs>
          <w:tab w:pos="6636" w:val="left" w:leader="dot"/>
        </w:tabs>
        <w:spacing w:before="336"/>
        <w:ind w:left="675"/>
      </w:pPr>
      <w:r>
        <w:rPr/>
        <w:t>Phosphate mono</w:t>
      </w:r>
      <w:r>
        <w:rPr>
          <w:spacing w:val="-2"/>
        </w:rPr>
        <w:t> </w:t>
      </w:r>
      <w:r>
        <w:rPr/>
        <w:t>potassique</w:t>
        <w:tab/>
        <w:t>0,6</w:t>
      </w:r>
    </w:p>
    <w:p>
      <w:pPr>
        <w:pStyle w:val="BodyText"/>
        <w:spacing w:before="340"/>
        <w:ind w:left="675"/>
      </w:pPr>
      <w:r>
        <w:rPr/>
        <w:t>pH =7,6</w:t>
      </w:r>
    </w:p>
    <w:p>
      <w:pPr>
        <w:pStyle w:val="Heading4"/>
        <w:numPr>
          <w:ilvl w:val="1"/>
          <w:numId w:val="32"/>
        </w:numPr>
        <w:tabs>
          <w:tab w:pos="1096" w:val="left" w:leader="none"/>
        </w:tabs>
        <w:spacing w:line="240" w:lineRule="auto" w:before="339" w:after="0"/>
        <w:ind w:left="1095" w:right="0" w:hanging="420"/>
        <w:jc w:val="left"/>
      </w:pPr>
      <w:r>
        <w:rPr/>
        <w:t>Milieux </w:t>
      </w:r>
      <w:r>
        <w:rPr>
          <w:spacing w:val="-3"/>
        </w:rPr>
        <w:t>de </w:t>
      </w:r>
      <w:r>
        <w:rPr/>
        <w:t>Slanetz et Bartley</w:t>
      </w:r>
      <w:r>
        <w:rPr>
          <w:spacing w:val="14"/>
        </w:rPr>
        <w:t> </w:t>
      </w:r>
      <w:r>
        <w:rPr/>
        <w:t>:</w:t>
      </w:r>
    </w:p>
    <w:p>
      <w:pPr>
        <w:pStyle w:val="BodyText"/>
        <w:tabs>
          <w:tab w:pos="6650" w:val="left" w:leader="dot"/>
        </w:tabs>
        <w:spacing w:line="532" w:lineRule="auto" w:before="336"/>
        <w:ind w:left="675" w:right="4094"/>
      </w:pPr>
      <w:r>
        <w:rPr>
          <w:spacing w:val="-4"/>
        </w:rPr>
        <w:t>La </w:t>
      </w:r>
      <w:r>
        <w:rPr/>
        <w:t>formule du milieu déshydraté complet en </w:t>
      </w:r>
      <w:r>
        <w:rPr>
          <w:spacing w:val="-3"/>
        </w:rPr>
        <w:t>g/l </w:t>
      </w:r>
      <w:r>
        <w:rPr/>
        <w:t>d’eau distillée est: Tryptone</w:t>
        <w:tab/>
        <w:t>20</w:t>
      </w:r>
    </w:p>
    <w:p>
      <w:pPr>
        <w:pStyle w:val="BodyText"/>
        <w:tabs>
          <w:tab w:pos="6709" w:val="left" w:leader="dot"/>
        </w:tabs>
        <w:spacing w:before="2"/>
        <w:ind w:left="675"/>
      </w:pPr>
      <w:r>
        <w:rPr/>
        <w:t>Extrait</w:t>
      </w:r>
      <w:r>
        <w:rPr>
          <w:spacing w:val="-2"/>
        </w:rPr>
        <w:t> </w:t>
      </w:r>
      <w:r>
        <w:rPr/>
        <w:t>de</w:t>
      </w:r>
      <w:r>
        <w:rPr>
          <w:spacing w:val="-1"/>
        </w:rPr>
        <w:t> </w:t>
      </w:r>
      <w:r>
        <w:rPr/>
        <w:t>levure</w:t>
        <w:tab/>
        <w:t>5</w:t>
      </w:r>
    </w:p>
    <w:p>
      <w:pPr>
        <w:pStyle w:val="BodyText"/>
        <w:tabs>
          <w:tab w:pos="6740" w:val="left" w:leader="dot"/>
        </w:tabs>
        <w:spacing w:before="336"/>
        <w:ind w:left="675"/>
      </w:pPr>
      <w:r>
        <w:rPr/>
        <w:t>Glucose</w:t>
        <w:tab/>
        <w:t>2</w:t>
      </w:r>
    </w:p>
    <w:p>
      <w:pPr>
        <w:pStyle w:val="BodyText"/>
        <w:tabs>
          <w:tab w:pos="6753" w:val="left" w:leader="dot"/>
        </w:tabs>
        <w:spacing w:before="339"/>
        <w:ind w:left="675"/>
      </w:pPr>
      <w:r>
        <w:rPr/>
        <w:t>Mono hydrophosphate de</w:t>
      </w:r>
      <w:r>
        <w:rPr>
          <w:spacing w:val="-8"/>
        </w:rPr>
        <w:t> </w:t>
      </w:r>
      <w:r>
        <w:rPr/>
        <w:t>potassium</w:t>
      </w:r>
      <w:r>
        <w:rPr>
          <w:spacing w:val="-3"/>
        </w:rPr>
        <w:t> </w:t>
      </w:r>
      <w:r>
        <w:rPr/>
        <w:t>(K</w:t>
      </w:r>
      <w:r>
        <w:rPr>
          <w:rFonts w:ascii="Calibri" w:hAnsi="Calibri"/>
        </w:rPr>
        <w:t>₂</w:t>
      </w:r>
      <w:r>
        <w:rPr/>
        <w:t>HPO</w:t>
      </w:r>
      <w:r>
        <w:rPr>
          <w:rFonts w:ascii="Calibri" w:hAnsi="Calibri"/>
        </w:rPr>
        <w:t>₄</w:t>
      </w:r>
      <w:r>
        <w:rPr/>
        <w:t>)…</w:t>
        <w:tab/>
        <w:t>4</w:t>
      </w:r>
    </w:p>
    <w:p>
      <w:pPr>
        <w:pStyle w:val="BodyText"/>
        <w:tabs>
          <w:tab w:pos="6737" w:val="left" w:leader="dot"/>
        </w:tabs>
        <w:spacing w:before="348"/>
        <w:ind w:left="675"/>
      </w:pPr>
      <w:r>
        <w:rPr/>
        <w:t>Azide</w:t>
      </w:r>
      <w:r>
        <w:rPr>
          <w:spacing w:val="-1"/>
        </w:rPr>
        <w:t> </w:t>
      </w:r>
      <w:r>
        <w:rPr/>
        <w:t>de sodium</w:t>
        <w:tab/>
        <w:t>0,4</w:t>
      </w:r>
    </w:p>
    <w:p>
      <w:pPr>
        <w:spacing w:after="0"/>
        <w:sectPr>
          <w:headerReference w:type="default" r:id="rId163"/>
          <w:footerReference w:type="default" r:id="rId164"/>
          <w:pgSz w:w="11900" w:h="16840"/>
          <w:pgMar w:header="0" w:footer="0" w:top="1360" w:bottom="280" w:left="740" w:right="0"/>
        </w:sectPr>
      </w:pPr>
    </w:p>
    <w:p>
      <w:pPr>
        <w:pStyle w:val="BodyText"/>
        <w:tabs>
          <w:tab w:pos="6970" w:val="right" w:leader="dot"/>
        </w:tabs>
        <w:spacing w:before="66"/>
        <w:ind w:left="675"/>
      </w:pPr>
      <w:r>
        <w:rPr/>
        <w:t>Agar…</w:t>
        <w:tab/>
        <w:t>10</w:t>
      </w:r>
    </w:p>
    <w:p>
      <w:pPr>
        <w:pStyle w:val="BodyText"/>
        <w:tabs>
          <w:tab w:pos="6778" w:val="left" w:leader="dot"/>
        </w:tabs>
        <w:spacing w:before="340"/>
        <w:ind w:left="675"/>
      </w:pPr>
      <w:r>
        <w:rPr/>
        <w:t>Chlorure de</w:t>
      </w:r>
      <w:r>
        <w:rPr>
          <w:spacing w:val="-2"/>
        </w:rPr>
        <w:t> </w:t>
      </w:r>
      <w:r>
        <w:rPr/>
        <w:t>triphényltétrazolium</w:t>
      </w:r>
      <w:r>
        <w:rPr>
          <w:spacing w:val="-1"/>
        </w:rPr>
        <w:t> </w:t>
      </w:r>
      <w:r>
        <w:rPr/>
        <w:t>(TTC)…</w:t>
        <w:tab/>
        <w:t>50ml</w:t>
      </w:r>
    </w:p>
    <w:p>
      <w:pPr>
        <w:pStyle w:val="BodyText"/>
        <w:tabs>
          <w:tab w:pos="6862" w:val="left" w:leader="dot"/>
        </w:tabs>
        <w:spacing w:before="336"/>
        <w:ind w:left="675"/>
      </w:pPr>
      <w:r>
        <w:rPr/>
        <w:t>pH</w:t>
      </w:r>
      <w:r>
        <w:rPr>
          <w:spacing w:val="-6"/>
        </w:rPr>
        <w:t> </w:t>
      </w:r>
      <w:r>
        <w:rPr/>
        <w:t>final</w:t>
        <w:tab/>
        <w:t>7,2</w:t>
      </w:r>
    </w:p>
    <w:p>
      <w:pPr>
        <w:pStyle w:val="Heading4"/>
        <w:numPr>
          <w:ilvl w:val="1"/>
          <w:numId w:val="32"/>
        </w:numPr>
        <w:tabs>
          <w:tab w:pos="1096" w:val="left" w:leader="none"/>
        </w:tabs>
        <w:spacing w:line="240" w:lineRule="auto" w:before="344" w:after="0"/>
        <w:ind w:left="1095" w:right="0" w:hanging="420"/>
        <w:jc w:val="left"/>
      </w:pPr>
      <w:r>
        <w:rPr/>
        <w:t>EVA-LITSKY</w:t>
      </w:r>
      <w:r>
        <w:rPr>
          <w:spacing w:val="-3"/>
        </w:rPr>
        <w:t> </w:t>
      </w:r>
      <w:r>
        <w:rPr/>
        <w:t>:</w:t>
      </w:r>
    </w:p>
    <w:p>
      <w:pPr>
        <w:pStyle w:val="BodyText"/>
        <w:tabs>
          <w:tab w:pos="6722" w:val="left" w:leader="dot"/>
          <w:tab w:pos="6798" w:val="left" w:leader="dot"/>
        </w:tabs>
        <w:spacing w:line="535" w:lineRule="auto" w:before="331"/>
        <w:ind w:left="675" w:right="3945"/>
      </w:pPr>
      <w:r>
        <w:rPr/>
        <w:t>Peptone</w:t>
        <w:tab/>
      </w:r>
      <w:r>
        <w:rPr>
          <w:spacing w:val="-6"/>
        </w:rPr>
        <w:t>20g/l </w:t>
      </w:r>
      <w:r>
        <w:rPr/>
        <w:t>Glucose</w:t>
        <w:tab/>
        <w:tab/>
        <w:t>5g/l</w:t>
      </w:r>
    </w:p>
    <w:p>
      <w:pPr>
        <w:pStyle w:val="BodyText"/>
        <w:tabs>
          <w:tab w:pos="6897" w:val="left" w:leader="dot"/>
        </w:tabs>
        <w:spacing w:line="273" w:lineRule="exact"/>
        <w:ind w:left="675"/>
      </w:pPr>
      <w:r>
        <w:rPr/>
        <w:t>Chlorure de</w:t>
      </w:r>
      <w:r>
        <w:rPr>
          <w:spacing w:val="1"/>
        </w:rPr>
        <w:t> </w:t>
      </w:r>
      <w:r>
        <w:rPr/>
        <w:t>sodium</w:t>
        <w:tab/>
        <w:t>5g/l</w:t>
      </w:r>
    </w:p>
    <w:p>
      <w:pPr>
        <w:pStyle w:val="BodyText"/>
        <w:tabs>
          <w:tab w:pos="6936" w:val="left" w:leader="dot"/>
        </w:tabs>
        <w:spacing w:before="340"/>
        <w:ind w:left="675"/>
      </w:pPr>
      <w:r>
        <w:rPr/>
        <w:t>Phosphate bi</w:t>
      </w:r>
      <w:r>
        <w:rPr>
          <w:spacing w:val="-1"/>
        </w:rPr>
        <w:t> </w:t>
      </w:r>
      <w:r>
        <w:rPr/>
        <w:t>potassique</w:t>
        <w:tab/>
        <w:t>2,7g/l</w:t>
      </w:r>
    </w:p>
    <w:p>
      <w:pPr>
        <w:pStyle w:val="BodyText"/>
        <w:tabs>
          <w:tab w:pos="6936" w:val="left" w:leader="dot"/>
        </w:tabs>
        <w:spacing w:before="336"/>
        <w:ind w:left="675"/>
      </w:pPr>
      <w:r>
        <w:rPr/>
        <w:t>Phosphate mono</w:t>
      </w:r>
      <w:r>
        <w:rPr>
          <w:spacing w:val="-2"/>
        </w:rPr>
        <w:t> </w:t>
      </w:r>
      <w:r>
        <w:rPr/>
        <w:t>potassique</w:t>
        <w:tab/>
        <w:t>2,7g/l</w:t>
      </w:r>
    </w:p>
    <w:p>
      <w:pPr>
        <w:pStyle w:val="BodyText"/>
        <w:tabs>
          <w:tab w:pos="7028" w:val="left" w:leader="dot"/>
        </w:tabs>
        <w:spacing w:before="339"/>
        <w:ind w:left="675"/>
      </w:pPr>
      <w:r>
        <w:rPr/>
        <w:t>Azothydvate</w:t>
      </w:r>
      <w:r>
        <w:rPr>
          <w:spacing w:val="-2"/>
        </w:rPr>
        <w:t> </w:t>
      </w:r>
      <w:r>
        <w:rPr/>
        <w:t>de</w:t>
      </w:r>
      <w:r>
        <w:rPr>
          <w:spacing w:val="-1"/>
        </w:rPr>
        <w:t> </w:t>
      </w:r>
      <w:r>
        <w:rPr/>
        <w:t>sodium</w:t>
        <w:tab/>
        <w:t>0,3g/l</w:t>
      </w:r>
    </w:p>
    <w:p>
      <w:pPr>
        <w:pStyle w:val="BodyText"/>
        <w:tabs>
          <w:tab w:pos="6961" w:val="left" w:leader="dot"/>
        </w:tabs>
        <w:spacing w:before="336"/>
        <w:ind w:left="675"/>
      </w:pPr>
      <w:r>
        <w:rPr/>
        <w:t>Ethyle-violet</w:t>
        <w:tab/>
        <w:t>5g/l</w:t>
      </w:r>
    </w:p>
    <w:p>
      <w:pPr>
        <w:pStyle w:val="BodyText"/>
        <w:spacing w:before="6"/>
        <w:rPr>
          <w:sz w:val="29"/>
        </w:rPr>
      </w:pPr>
    </w:p>
    <w:p>
      <w:pPr>
        <w:pStyle w:val="BodyText"/>
        <w:ind w:left="675"/>
      </w:pPr>
      <w:r>
        <w:rPr/>
        <w:t>pH =7</w:t>
      </w:r>
    </w:p>
    <w:p>
      <w:pPr>
        <w:pStyle w:val="BodyText"/>
        <w:spacing w:before="6"/>
        <w:rPr>
          <w:sz w:val="29"/>
        </w:rPr>
      </w:pPr>
    </w:p>
    <w:p>
      <w:pPr>
        <w:pStyle w:val="Heading4"/>
        <w:numPr>
          <w:ilvl w:val="1"/>
          <w:numId w:val="32"/>
        </w:numPr>
        <w:tabs>
          <w:tab w:pos="1096" w:val="left" w:leader="none"/>
        </w:tabs>
        <w:spacing w:line="240" w:lineRule="auto" w:before="0" w:after="0"/>
        <w:ind w:left="1095" w:right="0" w:hanging="420"/>
        <w:jc w:val="left"/>
      </w:pPr>
      <w:r>
        <w:rPr/>
        <w:t>Milieux Viande - Foie</w:t>
      </w:r>
      <w:r>
        <w:rPr>
          <w:spacing w:val="-1"/>
        </w:rPr>
        <w:t> </w:t>
      </w:r>
      <w:r>
        <w:rPr/>
        <w:t>:</w:t>
      </w:r>
    </w:p>
    <w:p>
      <w:pPr>
        <w:pStyle w:val="BodyText"/>
        <w:spacing w:before="3"/>
        <w:rPr>
          <w:b/>
          <w:sz w:val="29"/>
        </w:rPr>
      </w:pPr>
    </w:p>
    <w:p>
      <w:pPr>
        <w:pStyle w:val="BodyText"/>
        <w:ind w:left="675"/>
      </w:pPr>
      <w:r>
        <w:rPr/>
        <w:t>Préparé en deux étapes sont :</w:t>
      </w:r>
    </w:p>
    <w:p>
      <w:pPr>
        <w:pStyle w:val="BodyText"/>
        <w:spacing w:before="1"/>
        <w:rPr>
          <w:sz w:val="29"/>
        </w:rPr>
      </w:pPr>
    </w:p>
    <w:p>
      <w:pPr>
        <w:pStyle w:val="ListParagraph"/>
        <w:numPr>
          <w:ilvl w:val="2"/>
          <w:numId w:val="32"/>
        </w:numPr>
        <w:tabs>
          <w:tab w:pos="1394" w:val="left" w:leader="none"/>
          <w:tab w:pos="1395" w:val="left" w:leader="none"/>
        </w:tabs>
        <w:spacing w:line="240" w:lineRule="auto" w:before="0" w:after="0"/>
        <w:ind w:left="675" w:right="0" w:firstLine="360"/>
        <w:jc w:val="left"/>
        <w:rPr>
          <w:sz w:val="24"/>
        </w:rPr>
      </w:pPr>
      <w:r>
        <w:rPr>
          <w:sz w:val="24"/>
        </w:rPr>
        <w:t>Milieu de base</w:t>
      </w:r>
      <w:r>
        <w:rPr>
          <w:spacing w:val="3"/>
          <w:sz w:val="24"/>
        </w:rPr>
        <w:t> </w:t>
      </w:r>
      <w:r>
        <w:rPr>
          <w:sz w:val="24"/>
        </w:rPr>
        <w:t>:</w:t>
      </w:r>
    </w:p>
    <w:p>
      <w:pPr>
        <w:pStyle w:val="BodyText"/>
        <w:spacing w:before="5"/>
        <w:rPr>
          <w:sz w:val="29"/>
        </w:rPr>
      </w:pPr>
    </w:p>
    <w:p>
      <w:pPr>
        <w:pStyle w:val="BodyText"/>
        <w:tabs>
          <w:tab w:pos="7148" w:val="left" w:leader="dot"/>
        </w:tabs>
        <w:ind w:left="675"/>
      </w:pPr>
      <w:r>
        <w:rPr/>
        <w:t>Base de Viande</w:t>
      </w:r>
      <w:r>
        <w:rPr>
          <w:spacing w:val="1"/>
        </w:rPr>
        <w:t> </w:t>
      </w:r>
      <w:r>
        <w:rPr/>
        <w:t>de</w:t>
      </w:r>
      <w:r>
        <w:rPr>
          <w:spacing w:val="4"/>
        </w:rPr>
        <w:t> </w:t>
      </w:r>
      <w:r>
        <w:rPr>
          <w:spacing w:val="-3"/>
        </w:rPr>
        <w:t>Foie</w:t>
        <w:tab/>
      </w:r>
      <w:r>
        <w:rPr/>
        <w:t>30g</w:t>
      </w:r>
    </w:p>
    <w:p>
      <w:pPr>
        <w:pStyle w:val="BodyText"/>
        <w:spacing w:before="3"/>
        <w:rPr>
          <w:sz w:val="29"/>
        </w:rPr>
      </w:pPr>
    </w:p>
    <w:p>
      <w:pPr>
        <w:pStyle w:val="BodyText"/>
        <w:tabs>
          <w:tab w:pos="7218" w:val="left" w:leader="dot"/>
        </w:tabs>
        <w:ind w:left="675"/>
      </w:pPr>
      <w:r>
        <w:rPr/>
        <w:t>Glucose</w:t>
        <w:tab/>
        <w:t>2g</w:t>
      </w:r>
    </w:p>
    <w:p>
      <w:pPr>
        <w:pStyle w:val="BodyText"/>
        <w:spacing w:before="6"/>
        <w:rPr>
          <w:sz w:val="29"/>
        </w:rPr>
      </w:pPr>
    </w:p>
    <w:p>
      <w:pPr>
        <w:pStyle w:val="BodyText"/>
        <w:tabs>
          <w:tab w:pos="7278" w:val="left" w:leader="dot"/>
        </w:tabs>
        <w:ind w:left="675"/>
      </w:pPr>
      <w:r>
        <w:rPr/>
        <w:t>Amidon…</w:t>
        <w:tab/>
        <w:t>2g</w:t>
      </w:r>
    </w:p>
    <w:p>
      <w:pPr>
        <w:pStyle w:val="BodyText"/>
        <w:spacing w:before="2"/>
        <w:rPr>
          <w:sz w:val="29"/>
        </w:rPr>
      </w:pPr>
    </w:p>
    <w:p>
      <w:pPr>
        <w:pStyle w:val="BodyText"/>
        <w:tabs>
          <w:tab w:pos="7270" w:val="left" w:leader="dot"/>
        </w:tabs>
        <w:ind w:left="675"/>
      </w:pPr>
      <w:r>
        <w:rPr/>
        <w:t>Agar…</w:t>
        <w:tab/>
        <w:t>1g</w:t>
      </w:r>
    </w:p>
    <w:p>
      <w:pPr>
        <w:pStyle w:val="BodyText"/>
        <w:spacing w:before="6"/>
        <w:rPr>
          <w:sz w:val="29"/>
        </w:rPr>
      </w:pPr>
    </w:p>
    <w:p>
      <w:pPr>
        <w:pStyle w:val="BodyText"/>
        <w:tabs>
          <w:tab w:pos="7200" w:val="left" w:leader="dot"/>
        </w:tabs>
        <w:ind w:left="675"/>
      </w:pPr>
      <w:r>
        <w:rPr/>
        <w:t>Eau</w:t>
      </w:r>
      <w:r>
        <w:rPr>
          <w:spacing w:val="-2"/>
        </w:rPr>
        <w:t> </w:t>
      </w:r>
      <w:r>
        <w:rPr/>
        <w:t>distillée</w:t>
        <w:tab/>
        <w:t>1000ml</w:t>
      </w:r>
    </w:p>
    <w:p>
      <w:pPr>
        <w:pStyle w:val="BodyText"/>
        <w:spacing w:before="2"/>
        <w:rPr>
          <w:sz w:val="29"/>
        </w:rPr>
      </w:pPr>
    </w:p>
    <w:p>
      <w:pPr>
        <w:pStyle w:val="ListParagraph"/>
        <w:numPr>
          <w:ilvl w:val="2"/>
          <w:numId w:val="32"/>
        </w:numPr>
        <w:tabs>
          <w:tab w:pos="1394" w:val="left" w:leader="none"/>
          <w:tab w:pos="1395" w:val="left" w:leader="none"/>
        </w:tabs>
        <w:spacing w:line="516" w:lineRule="auto" w:before="0" w:after="0"/>
        <w:ind w:left="675" w:right="6634" w:firstLine="360"/>
        <w:jc w:val="left"/>
        <w:rPr>
          <w:sz w:val="24"/>
        </w:rPr>
      </w:pPr>
      <w:r>
        <w:rPr>
          <w:spacing w:val="-3"/>
          <w:sz w:val="24"/>
        </w:rPr>
        <w:t>Au </w:t>
      </w:r>
      <w:r>
        <w:rPr>
          <w:sz w:val="24"/>
        </w:rPr>
        <w:t>moment de l’emploi : Ajouter à 20 ml de milieu de base</w:t>
      </w:r>
      <w:r>
        <w:rPr>
          <w:spacing w:val="-15"/>
          <w:sz w:val="24"/>
        </w:rPr>
        <w:t> </w:t>
      </w:r>
      <w:r>
        <w:rPr>
          <w:sz w:val="24"/>
        </w:rPr>
        <w:t>fondé</w:t>
      </w:r>
    </w:p>
    <w:p>
      <w:pPr>
        <w:pStyle w:val="BodyText"/>
        <w:spacing w:before="23"/>
        <w:ind w:left="675"/>
      </w:pPr>
      <w:r>
        <w:rPr/>
        <w:t>0,5 ml d’une solution de sulfate de sodium à 5%</w:t>
      </w:r>
    </w:p>
    <w:p>
      <w:pPr>
        <w:spacing w:after="0"/>
        <w:sectPr>
          <w:headerReference w:type="default" r:id="rId165"/>
          <w:footerReference w:type="default" r:id="rId166"/>
          <w:pgSz w:w="11900" w:h="16840"/>
          <w:pgMar w:header="0" w:footer="0" w:top="1360" w:bottom="280" w:left="740" w:right="0"/>
        </w:sectPr>
      </w:pPr>
    </w:p>
    <w:p>
      <w:pPr>
        <w:pStyle w:val="BodyText"/>
        <w:spacing w:before="66"/>
        <w:ind w:left="675"/>
      </w:pPr>
      <w:r>
        <w:rPr/>
        <w:t>4 gouttes d’alun de fer</w:t>
      </w:r>
    </w:p>
    <w:p>
      <w:pPr>
        <w:pStyle w:val="BodyText"/>
        <w:rPr>
          <w:sz w:val="26"/>
        </w:rPr>
      </w:pPr>
    </w:p>
    <w:p>
      <w:pPr>
        <w:pStyle w:val="BodyText"/>
        <w:rPr>
          <w:sz w:val="26"/>
        </w:rPr>
      </w:pPr>
    </w:p>
    <w:p>
      <w:pPr>
        <w:pStyle w:val="BodyText"/>
        <w:spacing w:before="1"/>
        <w:rPr>
          <w:sz w:val="31"/>
        </w:rPr>
      </w:pPr>
    </w:p>
    <w:p>
      <w:pPr>
        <w:pStyle w:val="Heading4"/>
        <w:numPr>
          <w:ilvl w:val="1"/>
          <w:numId w:val="32"/>
        </w:numPr>
        <w:tabs>
          <w:tab w:pos="1096" w:val="left" w:leader="none"/>
        </w:tabs>
        <w:spacing w:line="240" w:lineRule="auto" w:before="0" w:after="0"/>
        <w:ind w:left="1095" w:right="0" w:hanging="420"/>
        <w:jc w:val="left"/>
      </w:pPr>
      <w:r>
        <w:rPr/>
        <w:t>Milieux Endo</w:t>
      </w:r>
      <w:r>
        <w:rPr>
          <w:spacing w:val="-8"/>
        </w:rPr>
        <w:t> </w:t>
      </w:r>
      <w:r>
        <w:rPr/>
        <w:t>:</w:t>
      </w:r>
    </w:p>
    <w:p>
      <w:pPr>
        <w:pStyle w:val="BodyText"/>
        <w:spacing w:before="3"/>
        <w:rPr>
          <w:b/>
          <w:sz w:val="29"/>
        </w:rPr>
      </w:pPr>
    </w:p>
    <w:p>
      <w:pPr>
        <w:pStyle w:val="BodyText"/>
        <w:tabs>
          <w:tab w:pos="7142" w:val="left" w:leader="dot"/>
          <w:tab w:pos="7177" w:val="left" w:leader="dot"/>
        </w:tabs>
        <w:spacing w:line="532" w:lineRule="auto"/>
        <w:ind w:left="675" w:right="3620"/>
      </w:pPr>
      <w:r>
        <w:rPr/>
        <w:t>Peptone</w:t>
        <w:tab/>
        <w:t>10g Lactose</w:t>
        <w:tab/>
        <w:tab/>
      </w:r>
      <w:r>
        <w:rPr>
          <w:spacing w:val="-6"/>
        </w:rPr>
        <w:t>10g</w:t>
      </w:r>
    </w:p>
    <w:p>
      <w:pPr>
        <w:pStyle w:val="BodyText"/>
        <w:tabs>
          <w:tab w:pos="7287" w:val="left" w:leader="dot"/>
        </w:tabs>
        <w:spacing w:before="2"/>
        <w:ind w:left="675"/>
      </w:pPr>
      <w:r>
        <w:rPr/>
        <w:t>Fuchsine basique à 10%</w:t>
      </w:r>
      <w:r>
        <w:rPr>
          <w:spacing w:val="-1"/>
        </w:rPr>
        <w:t> </w:t>
      </w:r>
      <w:r>
        <w:rPr/>
        <w:t>dans</w:t>
      </w:r>
      <w:r>
        <w:rPr>
          <w:spacing w:val="-3"/>
        </w:rPr>
        <w:t> </w:t>
      </w:r>
      <w:r>
        <w:rPr/>
        <w:t>l’éthanol</w:t>
        <w:tab/>
        <w:t>4ml</w:t>
      </w:r>
    </w:p>
    <w:p>
      <w:pPr>
        <w:pStyle w:val="BodyText"/>
        <w:spacing w:before="2"/>
        <w:rPr>
          <w:sz w:val="29"/>
        </w:rPr>
      </w:pPr>
    </w:p>
    <w:p>
      <w:pPr>
        <w:pStyle w:val="BodyText"/>
        <w:tabs>
          <w:tab w:pos="7299" w:val="left" w:leader="dot"/>
        </w:tabs>
        <w:ind w:left="675"/>
      </w:pPr>
      <w:r>
        <w:rPr/>
        <w:t>Hydrogénophosfate</w:t>
      </w:r>
      <w:r>
        <w:rPr>
          <w:spacing w:val="-2"/>
        </w:rPr>
        <w:t> </w:t>
      </w:r>
      <w:r>
        <w:rPr/>
        <w:t>de</w:t>
      </w:r>
      <w:r>
        <w:rPr>
          <w:spacing w:val="-1"/>
        </w:rPr>
        <w:t> </w:t>
      </w:r>
      <w:r>
        <w:rPr/>
        <w:t>potassium</w:t>
        <w:tab/>
        <w:t>3,5</w:t>
      </w:r>
      <w:r>
        <w:rPr>
          <w:spacing w:val="-1"/>
        </w:rPr>
        <w:t> </w:t>
      </w:r>
      <w:r>
        <w:rPr/>
        <w:t>g</w:t>
      </w:r>
    </w:p>
    <w:p>
      <w:pPr>
        <w:pStyle w:val="BodyText"/>
        <w:spacing w:before="6"/>
        <w:rPr>
          <w:sz w:val="29"/>
        </w:rPr>
      </w:pPr>
    </w:p>
    <w:p>
      <w:pPr>
        <w:pStyle w:val="BodyText"/>
        <w:tabs>
          <w:tab w:pos="7277" w:val="left" w:leader="dot"/>
        </w:tabs>
        <w:ind w:left="675"/>
      </w:pPr>
      <w:r>
        <w:rPr/>
        <w:t>Sulfute de sodium</w:t>
        <w:tab/>
        <w:t>10g</w:t>
      </w:r>
    </w:p>
    <w:p>
      <w:pPr>
        <w:pStyle w:val="BodyText"/>
        <w:spacing w:before="2"/>
        <w:rPr>
          <w:sz w:val="29"/>
        </w:rPr>
      </w:pPr>
    </w:p>
    <w:p>
      <w:pPr>
        <w:pStyle w:val="BodyText"/>
        <w:tabs>
          <w:tab w:pos="7270" w:val="left" w:leader="dot"/>
        </w:tabs>
        <w:spacing w:before="1"/>
        <w:ind w:left="675"/>
      </w:pPr>
      <w:r>
        <w:rPr/>
        <w:t>Agar…</w:t>
        <w:tab/>
        <w:t>15g</w:t>
      </w:r>
    </w:p>
    <w:p>
      <w:pPr>
        <w:pStyle w:val="BodyText"/>
        <w:spacing w:before="6"/>
        <w:rPr>
          <w:sz w:val="29"/>
        </w:rPr>
      </w:pPr>
    </w:p>
    <w:p>
      <w:pPr>
        <w:pStyle w:val="BodyText"/>
        <w:ind w:left="675"/>
      </w:pPr>
      <w:r>
        <w:rPr/>
        <w:t>pH = 7,5</w:t>
      </w:r>
    </w:p>
    <w:p>
      <w:pPr>
        <w:pStyle w:val="BodyText"/>
        <w:spacing w:before="6"/>
        <w:rPr>
          <w:sz w:val="29"/>
        </w:rPr>
      </w:pPr>
    </w:p>
    <w:p>
      <w:pPr>
        <w:pStyle w:val="Heading4"/>
        <w:numPr>
          <w:ilvl w:val="1"/>
          <w:numId w:val="32"/>
        </w:numPr>
        <w:tabs>
          <w:tab w:pos="1156" w:val="left" w:leader="none"/>
        </w:tabs>
        <w:spacing w:line="240" w:lineRule="auto" w:before="0" w:after="0"/>
        <w:ind w:left="1155" w:right="0" w:hanging="480"/>
        <w:jc w:val="left"/>
      </w:pPr>
      <w:r>
        <w:rPr/>
        <w:t>Milieu Chapman</w:t>
      </w:r>
      <w:r>
        <w:rPr>
          <w:spacing w:val="-3"/>
        </w:rPr>
        <w:t> </w:t>
      </w:r>
      <w:r>
        <w:rPr/>
        <w:t>:</w:t>
      </w:r>
    </w:p>
    <w:p>
      <w:pPr>
        <w:pStyle w:val="BodyText"/>
        <w:spacing w:before="2"/>
        <w:rPr>
          <w:b/>
          <w:sz w:val="29"/>
        </w:rPr>
      </w:pPr>
    </w:p>
    <w:p>
      <w:pPr>
        <w:pStyle w:val="BodyText"/>
        <w:ind w:left="675"/>
      </w:pPr>
      <w:r>
        <w:rPr/>
        <w:t>Composition pour la préparation d’un litre de mileu :</w:t>
      </w:r>
    </w:p>
    <w:p>
      <w:pPr>
        <w:pStyle w:val="BodyText"/>
        <w:spacing w:before="2"/>
        <w:rPr>
          <w:sz w:val="29"/>
        </w:rPr>
      </w:pPr>
    </w:p>
    <w:p>
      <w:pPr>
        <w:pStyle w:val="BodyText"/>
        <w:tabs>
          <w:tab w:pos="7310" w:val="left" w:leader="dot"/>
        </w:tabs>
        <w:spacing w:before="1"/>
        <w:ind w:left="675"/>
      </w:pPr>
      <w:r>
        <w:rPr/>
        <w:t>Peptone de caséine et</w:t>
      </w:r>
      <w:r>
        <w:rPr>
          <w:spacing w:val="-2"/>
        </w:rPr>
        <w:t> </w:t>
      </w:r>
      <w:r>
        <w:rPr>
          <w:spacing w:val="-3"/>
        </w:rPr>
        <w:t>de</w:t>
      </w:r>
      <w:r>
        <w:rPr>
          <w:spacing w:val="-1"/>
        </w:rPr>
        <w:t> </w:t>
      </w:r>
      <w:r>
        <w:rPr/>
        <w:t>viande</w:t>
        <w:tab/>
        <w:t>10g</w:t>
      </w:r>
    </w:p>
    <w:p>
      <w:pPr>
        <w:pStyle w:val="BodyText"/>
        <w:spacing w:before="6"/>
        <w:rPr>
          <w:sz w:val="29"/>
        </w:rPr>
      </w:pPr>
    </w:p>
    <w:p>
      <w:pPr>
        <w:pStyle w:val="BodyText"/>
        <w:tabs>
          <w:tab w:pos="7348" w:val="left" w:leader="dot"/>
        </w:tabs>
        <w:ind w:left="675"/>
      </w:pPr>
      <w:r>
        <w:rPr/>
        <w:t>Extrait de viande</w:t>
      </w:r>
      <w:r>
        <w:rPr>
          <w:spacing w:val="-1"/>
        </w:rPr>
        <w:t> </w:t>
      </w:r>
      <w:r>
        <w:rPr>
          <w:spacing w:val="-3"/>
        </w:rPr>
        <w:t>de</w:t>
      </w:r>
      <w:r>
        <w:rPr/>
        <w:t> bœuf…</w:t>
        <w:tab/>
        <w:t>1g</w:t>
      </w:r>
    </w:p>
    <w:p>
      <w:pPr>
        <w:pStyle w:val="BodyText"/>
        <w:spacing w:before="2"/>
        <w:rPr>
          <w:sz w:val="29"/>
        </w:rPr>
      </w:pPr>
    </w:p>
    <w:p>
      <w:pPr>
        <w:pStyle w:val="BodyText"/>
        <w:tabs>
          <w:tab w:pos="7437" w:val="left" w:leader="dot"/>
        </w:tabs>
        <w:ind w:left="675"/>
      </w:pPr>
      <w:r>
        <w:rPr/>
        <w:t>Chlorure de</w:t>
      </w:r>
      <w:r>
        <w:rPr>
          <w:spacing w:val="1"/>
        </w:rPr>
        <w:t> </w:t>
      </w:r>
      <w:r>
        <w:rPr/>
        <w:t>sodium</w:t>
        <w:tab/>
        <w:t>75g</w:t>
      </w:r>
    </w:p>
    <w:p>
      <w:pPr>
        <w:pStyle w:val="BodyText"/>
        <w:spacing w:before="6"/>
        <w:rPr>
          <w:sz w:val="29"/>
        </w:rPr>
      </w:pPr>
    </w:p>
    <w:p>
      <w:pPr>
        <w:pStyle w:val="BodyText"/>
        <w:tabs>
          <w:tab w:pos="7432" w:val="left" w:leader="dot"/>
        </w:tabs>
        <w:spacing w:before="1"/>
        <w:ind w:left="675"/>
      </w:pPr>
      <w:r>
        <w:rPr/>
        <w:t>Mannitol</w:t>
        <w:tab/>
        <w:t>10g</w:t>
      </w:r>
    </w:p>
    <w:p>
      <w:pPr>
        <w:pStyle w:val="BodyText"/>
        <w:spacing w:before="2"/>
        <w:rPr>
          <w:sz w:val="29"/>
        </w:rPr>
      </w:pPr>
    </w:p>
    <w:p>
      <w:pPr>
        <w:pStyle w:val="BodyText"/>
        <w:tabs>
          <w:tab w:pos="7397" w:val="left" w:leader="dot"/>
        </w:tabs>
        <w:ind w:left="675"/>
      </w:pPr>
      <w:r>
        <w:rPr/>
        <w:t>Rouge de phénol</w:t>
        <w:tab/>
        <w:t>0,</w:t>
      </w:r>
      <w:r>
        <w:rPr>
          <w:spacing w:val="-1"/>
        </w:rPr>
        <w:t> </w:t>
      </w:r>
      <w:r>
        <w:rPr/>
        <w:t>025g</w:t>
      </w:r>
    </w:p>
    <w:p>
      <w:pPr>
        <w:pStyle w:val="BodyText"/>
        <w:spacing w:before="6"/>
        <w:rPr>
          <w:sz w:val="29"/>
        </w:rPr>
      </w:pPr>
    </w:p>
    <w:p>
      <w:pPr>
        <w:pStyle w:val="BodyText"/>
        <w:tabs>
          <w:tab w:pos="7402" w:val="left" w:leader="dot"/>
        </w:tabs>
        <w:ind w:left="675"/>
      </w:pPr>
      <w:r>
        <w:rPr/>
        <w:t>Agar-agar…</w:t>
        <w:tab/>
        <w:t>15g</w:t>
      </w:r>
    </w:p>
    <w:p>
      <w:pPr>
        <w:pStyle w:val="BodyText"/>
        <w:spacing w:before="2"/>
        <w:rPr>
          <w:sz w:val="29"/>
        </w:rPr>
      </w:pPr>
    </w:p>
    <w:p>
      <w:pPr>
        <w:pStyle w:val="BodyText"/>
        <w:tabs>
          <w:tab w:pos="7500" w:val="left" w:leader="dot"/>
        </w:tabs>
        <w:ind w:left="675"/>
      </w:pPr>
      <w:r>
        <w:rPr/>
        <w:t>Eau</w:t>
      </w:r>
      <w:r>
        <w:rPr>
          <w:spacing w:val="-2"/>
        </w:rPr>
        <w:t> </w:t>
      </w:r>
      <w:r>
        <w:rPr/>
        <w:t>distillée</w:t>
        <w:tab/>
        <w:t>1l</w:t>
      </w:r>
    </w:p>
    <w:p>
      <w:pPr>
        <w:pStyle w:val="BodyText"/>
        <w:spacing w:before="6"/>
        <w:rPr>
          <w:sz w:val="29"/>
        </w:rPr>
      </w:pPr>
    </w:p>
    <w:p>
      <w:pPr>
        <w:pStyle w:val="BodyText"/>
        <w:spacing w:before="1"/>
        <w:ind w:left="675"/>
      </w:pPr>
      <w:r>
        <w:rPr/>
        <w:t>pH= 7.4</w:t>
      </w:r>
    </w:p>
    <w:p>
      <w:pPr>
        <w:pStyle w:val="BodyText"/>
        <w:spacing w:before="6"/>
        <w:rPr>
          <w:sz w:val="29"/>
        </w:rPr>
      </w:pPr>
    </w:p>
    <w:p>
      <w:pPr>
        <w:pStyle w:val="Heading4"/>
        <w:numPr>
          <w:ilvl w:val="1"/>
          <w:numId w:val="32"/>
        </w:numPr>
        <w:tabs>
          <w:tab w:pos="1096" w:val="left" w:leader="none"/>
        </w:tabs>
        <w:spacing w:line="240" w:lineRule="auto" w:before="0" w:after="0"/>
        <w:ind w:left="1095" w:right="0" w:hanging="420"/>
        <w:jc w:val="left"/>
      </w:pPr>
      <w:r>
        <w:rPr/>
        <w:t>Gélose tryptophane - glucose </w:t>
      </w:r>
      <w:r>
        <w:rPr>
          <w:spacing w:val="-3"/>
        </w:rPr>
        <w:t>de </w:t>
      </w:r>
      <w:r>
        <w:rPr/>
        <w:t>levure-agar (TGEA)</w:t>
      </w:r>
      <w:r>
        <w:rPr>
          <w:spacing w:val="12"/>
        </w:rPr>
        <w:t> </w:t>
      </w:r>
      <w:r>
        <w:rPr/>
        <w:t>:</w:t>
      </w:r>
    </w:p>
    <w:p>
      <w:pPr>
        <w:pStyle w:val="BodyText"/>
        <w:tabs>
          <w:tab w:pos="7372" w:val="left" w:leader="dot"/>
        </w:tabs>
        <w:spacing w:line="532" w:lineRule="auto" w:before="336"/>
        <w:ind w:left="735" w:right="3665" w:hanging="60"/>
      </w:pPr>
      <w:r>
        <w:rPr>
          <w:spacing w:val="-4"/>
        </w:rPr>
        <w:t>La  </w:t>
      </w:r>
      <w:r>
        <w:rPr/>
        <w:t>formule de se milieu de culture en </w:t>
      </w:r>
      <w:r>
        <w:rPr>
          <w:spacing w:val="-3"/>
        </w:rPr>
        <w:t>g/l  </w:t>
      </w:r>
      <w:r>
        <w:rPr/>
        <w:t>d’eau distillée  est : Tryptone</w:t>
        <w:tab/>
      </w:r>
      <w:r>
        <w:rPr>
          <w:spacing w:val="-17"/>
        </w:rPr>
        <w:t>5</w:t>
      </w:r>
    </w:p>
    <w:p>
      <w:pPr>
        <w:spacing w:after="0" w:line="532" w:lineRule="auto"/>
        <w:sectPr>
          <w:headerReference w:type="default" r:id="rId167"/>
          <w:footerReference w:type="default" r:id="rId168"/>
          <w:pgSz w:w="11900" w:h="16840"/>
          <w:pgMar w:header="0" w:footer="0" w:top="1360" w:bottom="280" w:left="740" w:right="0"/>
        </w:sectPr>
      </w:pPr>
    </w:p>
    <w:p>
      <w:pPr>
        <w:pStyle w:val="BodyText"/>
        <w:tabs>
          <w:tab w:pos="7492" w:val="right" w:leader="dot"/>
        </w:tabs>
        <w:spacing w:before="66"/>
        <w:ind w:left="735"/>
      </w:pPr>
      <w:r>
        <w:rPr/>
        <w:t>Extrait</w:t>
      </w:r>
      <w:r>
        <w:rPr>
          <w:spacing w:val="-1"/>
        </w:rPr>
        <w:t> </w:t>
      </w:r>
      <w:r>
        <w:rPr/>
        <w:t>de</w:t>
      </w:r>
      <w:r>
        <w:rPr>
          <w:spacing w:val="1"/>
        </w:rPr>
        <w:t> </w:t>
      </w:r>
      <w:r>
        <w:rPr/>
        <w:t>levure</w:t>
        <w:tab/>
        <w:t>5</w:t>
      </w:r>
    </w:p>
    <w:p>
      <w:pPr>
        <w:pStyle w:val="BodyText"/>
        <w:tabs>
          <w:tab w:pos="7460" w:val="right" w:leader="dot"/>
        </w:tabs>
        <w:spacing w:before="340"/>
        <w:ind w:left="675"/>
      </w:pPr>
      <w:r>
        <w:rPr/>
        <w:t>Glucose</w:t>
        <w:tab/>
        <w:t>1</w:t>
      </w:r>
    </w:p>
    <w:p>
      <w:pPr>
        <w:pStyle w:val="BodyText"/>
        <w:tabs>
          <w:tab w:pos="7580" w:val="right" w:leader="dot"/>
        </w:tabs>
        <w:spacing w:before="336"/>
        <w:ind w:left="735"/>
      </w:pPr>
      <w:r>
        <w:rPr/>
        <w:t>Gélose</w:t>
        <w:tab/>
        <w:t>15</w:t>
      </w:r>
    </w:p>
    <w:p>
      <w:pPr>
        <w:pStyle w:val="BodyText"/>
        <w:spacing w:before="340"/>
        <w:ind w:left="675"/>
      </w:pPr>
      <w:r>
        <w:rPr/>
        <w:t>pH = 7,0</w:t>
      </w:r>
    </w:p>
    <w:p>
      <w:pPr>
        <w:spacing w:after="0"/>
        <w:sectPr>
          <w:headerReference w:type="default" r:id="rId169"/>
          <w:footerReference w:type="default" r:id="rId170"/>
          <w:pgSz w:w="11900" w:h="16840"/>
          <w:pgMar w:header="0" w:footer="0" w:top="1360" w:bottom="280" w:left="740" w:right="0"/>
        </w:sectPr>
      </w:pPr>
    </w:p>
    <w:p>
      <w:pPr>
        <w:pStyle w:val="Heading3"/>
        <w:numPr>
          <w:ilvl w:val="1"/>
          <w:numId w:val="31"/>
        </w:numPr>
        <w:tabs>
          <w:tab w:pos="3827" w:val="left" w:leader="none"/>
        </w:tabs>
        <w:spacing w:line="240" w:lineRule="auto" w:before="69" w:after="0"/>
        <w:ind w:left="3826" w:right="0" w:hanging="276"/>
        <w:jc w:val="left"/>
      </w:pPr>
      <w:r>
        <w:rPr/>
        <w:t>Les</w:t>
      </w:r>
      <w:r>
        <w:rPr>
          <w:spacing w:val="-1"/>
        </w:rPr>
        <w:t> </w:t>
      </w:r>
      <w:r>
        <w:rPr/>
        <w:t>Normes</w:t>
      </w:r>
    </w:p>
    <w:p>
      <w:pPr>
        <w:pStyle w:val="BodyText"/>
        <w:spacing w:line="273" w:lineRule="auto" w:before="247"/>
        <w:ind w:left="675" w:right="2193"/>
      </w:pPr>
      <w:r>
        <w:rPr>
          <w:b/>
        </w:rPr>
        <w:t>Tableau 01 </w:t>
      </w:r>
      <w:r>
        <w:rPr/>
        <w:t>: Normes d’OMS (2011) de potabilité des eaux de consommation Facteur physico-chimique.</w:t>
      </w:r>
    </w:p>
    <w:p>
      <w:pPr>
        <w:pStyle w:val="BodyText"/>
        <w:spacing w:before="2"/>
        <w:rPr>
          <w:sz w:val="18"/>
        </w:rPr>
      </w:pPr>
    </w:p>
    <w:tbl>
      <w:tblPr>
        <w:tblW w:w="0" w:type="auto"/>
        <w:jc w:val="left"/>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61"/>
        <w:gridCol w:w="3418"/>
        <w:gridCol w:w="3041"/>
      </w:tblGrid>
      <w:tr>
        <w:trPr>
          <w:trHeight w:val="546" w:hRule="atLeast"/>
        </w:trPr>
        <w:tc>
          <w:tcPr>
            <w:tcW w:w="2661" w:type="dxa"/>
          </w:tcPr>
          <w:p>
            <w:pPr>
              <w:pStyle w:val="TableParagraph"/>
              <w:spacing w:before="4"/>
              <w:rPr>
                <w:b/>
                <w:sz w:val="24"/>
              </w:rPr>
            </w:pPr>
            <w:r>
              <w:rPr>
                <w:b/>
                <w:sz w:val="24"/>
              </w:rPr>
              <w:t>Paramètres</w:t>
            </w:r>
          </w:p>
        </w:tc>
        <w:tc>
          <w:tcPr>
            <w:tcW w:w="3418" w:type="dxa"/>
          </w:tcPr>
          <w:p>
            <w:pPr>
              <w:pStyle w:val="TableParagraph"/>
              <w:spacing w:before="4"/>
              <w:ind w:left="104"/>
              <w:rPr>
                <w:b/>
                <w:sz w:val="24"/>
              </w:rPr>
            </w:pPr>
            <w:r>
              <w:rPr>
                <w:b/>
                <w:sz w:val="24"/>
              </w:rPr>
              <w:t>Unité</w:t>
            </w:r>
          </w:p>
        </w:tc>
        <w:tc>
          <w:tcPr>
            <w:tcW w:w="3041" w:type="dxa"/>
          </w:tcPr>
          <w:p>
            <w:pPr>
              <w:pStyle w:val="TableParagraph"/>
              <w:spacing w:before="4"/>
              <w:ind w:left="101"/>
              <w:rPr>
                <w:b/>
                <w:sz w:val="24"/>
              </w:rPr>
            </w:pPr>
            <w:r>
              <w:rPr>
                <w:b/>
                <w:sz w:val="24"/>
              </w:rPr>
              <w:t>Normes</w:t>
            </w:r>
          </w:p>
        </w:tc>
      </w:tr>
      <w:tr>
        <w:trPr>
          <w:trHeight w:val="550" w:hRule="atLeast"/>
        </w:trPr>
        <w:tc>
          <w:tcPr>
            <w:tcW w:w="2661" w:type="dxa"/>
          </w:tcPr>
          <w:p>
            <w:pPr>
              <w:pStyle w:val="TableParagraph"/>
              <w:spacing w:line="270" w:lineRule="atLeast" w:before="4"/>
              <w:ind w:right="51"/>
              <w:rPr>
                <w:b/>
                <w:sz w:val="24"/>
              </w:rPr>
            </w:pPr>
            <w:r>
              <w:rPr>
                <w:b/>
                <w:sz w:val="24"/>
              </w:rPr>
              <w:t>Le potentiel d’hydrogène pH</w:t>
            </w:r>
          </w:p>
        </w:tc>
        <w:tc>
          <w:tcPr>
            <w:tcW w:w="3418" w:type="dxa"/>
          </w:tcPr>
          <w:p>
            <w:pPr>
              <w:pStyle w:val="TableParagraph"/>
              <w:ind w:left="0"/>
              <w:jc w:val="center"/>
              <w:rPr>
                <w:sz w:val="24"/>
              </w:rPr>
            </w:pPr>
            <w:r>
              <w:rPr>
                <w:w w:val="99"/>
                <w:sz w:val="24"/>
              </w:rPr>
              <w:t>-</w:t>
            </w:r>
          </w:p>
        </w:tc>
        <w:tc>
          <w:tcPr>
            <w:tcW w:w="3041" w:type="dxa"/>
          </w:tcPr>
          <w:p>
            <w:pPr>
              <w:pStyle w:val="TableParagraph"/>
              <w:ind w:left="1147" w:right="1163"/>
              <w:jc w:val="center"/>
              <w:rPr>
                <w:sz w:val="24"/>
              </w:rPr>
            </w:pPr>
            <w:r>
              <w:rPr>
                <w:sz w:val="24"/>
              </w:rPr>
              <w:t>6.5-8.5</w:t>
            </w:r>
          </w:p>
        </w:tc>
      </w:tr>
      <w:tr>
        <w:trPr>
          <w:trHeight w:val="539" w:hRule="atLeast"/>
        </w:trPr>
        <w:tc>
          <w:tcPr>
            <w:tcW w:w="2661" w:type="dxa"/>
          </w:tcPr>
          <w:p>
            <w:pPr>
              <w:pStyle w:val="TableParagraph"/>
              <w:spacing w:line="273" w:lineRule="exact"/>
              <w:rPr>
                <w:b/>
                <w:sz w:val="24"/>
              </w:rPr>
            </w:pPr>
            <w:r>
              <w:rPr>
                <w:b/>
                <w:sz w:val="24"/>
              </w:rPr>
              <w:t>La température (°C)</w:t>
            </w:r>
          </w:p>
        </w:tc>
        <w:tc>
          <w:tcPr>
            <w:tcW w:w="3418" w:type="dxa"/>
          </w:tcPr>
          <w:p>
            <w:pPr>
              <w:pStyle w:val="TableParagraph"/>
              <w:spacing w:line="269" w:lineRule="exact"/>
              <w:ind w:left="1374" w:right="1379"/>
              <w:jc w:val="center"/>
              <w:rPr>
                <w:sz w:val="24"/>
              </w:rPr>
            </w:pPr>
            <w:r>
              <w:rPr>
                <w:sz w:val="24"/>
              </w:rPr>
              <w:t>°c</w:t>
            </w:r>
          </w:p>
        </w:tc>
        <w:tc>
          <w:tcPr>
            <w:tcW w:w="3041" w:type="dxa"/>
          </w:tcPr>
          <w:p>
            <w:pPr>
              <w:pStyle w:val="TableParagraph"/>
              <w:spacing w:line="269" w:lineRule="exact"/>
              <w:ind w:left="1147" w:right="1150"/>
              <w:jc w:val="center"/>
              <w:rPr>
                <w:sz w:val="24"/>
              </w:rPr>
            </w:pPr>
            <w:r>
              <w:rPr>
                <w:sz w:val="24"/>
              </w:rPr>
              <w:t>25</w:t>
            </w:r>
          </w:p>
        </w:tc>
      </w:tr>
      <w:tr>
        <w:trPr>
          <w:trHeight w:val="550" w:hRule="atLeast"/>
        </w:trPr>
        <w:tc>
          <w:tcPr>
            <w:tcW w:w="2661" w:type="dxa"/>
          </w:tcPr>
          <w:p>
            <w:pPr>
              <w:pStyle w:val="TableParagraph"/>
              <w:spacing w:line="270" w:lineRule="atLeast" w:before="3"/>
              <w:ind w:right="931"/>
              <w:rPr>
                <w:b/>
                <w:sz w:val="24"/>
              </w:rPr>
            </w:pPr>
            <w:r>
              <w:rPr>
                <w:b/>
                <w:sz w:val="24"/>
              </w:rPr>
              <w:t>La conductivité électrique CE</w:t>
            </w:r>
          </w:p>
        </w:tc>
        <w:tc>
          <w:tcPr>
            <w:tcW w:w="3418" w:type="dxa"/>
          </w:tcPr>
          <w:p>
            <w:pPr>
              <w:pStyle w:val="TableParagraph"/>
              <w:spacing w:line="275" w:lineRule="exact"/>
              <w:ind w:left="1379" w:right="1379"/>
              <w:jc w:val="center"/>
              <w:rPr>
                <w:i/>
                <w:sz w:val="24"/>
              </w:rPr>
            </w:pPr>
            <w:r>
              <w:rPr>
                <w:sz w:val="24"/>
              </w:rPr>
              <w:t>μS/</w:t>
            </w:r>
            <w:r>
              <w:rPr>
                <w:i/>
                <w:sz w:val="24"/>
              </w:rPr>
              <w:t>cm</w:t>
            </w:r>
          </w:p>
        </w:tc>
        <w:tc>
          <w:tcPr>
            <w:tcW w:w="3041" w:type="dxa"/>
          </w:tcPr>
          <w:p>
            <w:pPr>
              <w:pStyle w:val="TableParagraph"/>
              <w:spacing w:line="275" w:lineRule="exact"/>
              <w:ind w:left="1147" w:right="1151"/>
              <w:jc w:val="center"/>
              <w:rPr>
                <w:sz w:val="24"/>
              </w:rPr>
            </w:pPr>
            <w:r>
              <w:rPr>
                <w:sz w:val="24"/>
              </w:rPr>
              <w:t>1400</w:t>
            </w:r>
          </w:p>
        </w:tc>
      </w:tr>
      <w:tr>
        <w:trPr>
          <w:trHeight w:val="541" w:hRule="atLeast"/>
        </w:trPr>
        <w:tc>
          <w:tcPr>
            <w:tcW w:w="2661" w:type="dxa"/>
          </w:tcPr>
          <w:p>
            <w:pPr>
              <w:pStyle w:val="TableParagraph"/>
              <w:spacing w:before="2"/>
              <w:rPr>
                <w:b/>
                <w:sz w:val="24"/>
              </w:rPr>
            </w:pPr>
            <w:r>
              <w:rPr>
                <w:b/>
                <w:sz w:val="24"/>
              </w:rPr>
              <w:t>Les chlorures (Cl¯)</w:t>
            </w:r>
          </w:p>
        </w:tc>
        <w:tc>
          <w:tcPr>
            <w:tcW w:w="3418" w:type="dxa"/>
          </w:tcPr>
          <w:p>
            <w:pPr>
              <w:pStyle w:val="TableParagraph"/>
              <w:spacing w:line="274" w:lineRule="exact"/>
              <w:ind w:left="1374" w:right="1379"/>
              <w:jc w:val="center"/>
              <w:rPr>
                <w:sz w:val="24"/>
              </w:rPr>
            </w:pPr>
            <w:r>
              <w:rPr>
                <w:sz w:val="24"/>
              </w:rPr>
              <w:t>mg/l</w:t>
            </w:r>
          </w:p>
        </w:tc>
        <w:tc>
          <w:tcPr>
            <w:tcW w:w="3041" w:type="dxa"/>
          </w:tcPr>
          <w:p>
            <w:pPr>
              <w:pStyle w:val="TableParagraph"/>
              <w:spacing w:line="274" w:lineRule="exact"/>
              <w:ind w:left="1147" w:right="1151"/>
              <w:jc w:val="center"/>
              <w:rPr>
                <w:sz w:val="24"/>
              </w:rPr>
            </w:pPr>
            <w:r>
              <w:rPr>
                <w:sz w:val="24"/>
              </w:rPr>
              <w:t>250</w:t>
            </w:r>
          </w:p>
        </w:tc>
      </w:tr>
      <w:tr>
        <w:trPr>
          <w:trHeight w:val="545" w:hRule="atLeast"/>
        </w:trPr>
        <w:tc>
          <w:tcPr>
            <w:tcW w:w="2661" w:type="dxa"/>
          </w:tcPr>
          <w:p>
            <w:pPr>
              <w:pStyle w:val="TableParagraph"/>
              <w:spacing w:before="10"/>
              <w:rPr>
                <w:rFonts w:ascii="Calibri" w:hAnsi="Calibri"/>
                <w:b/>
                <w:sz w:val="24"/>
              </w:rPr>
            </w:pPr>
            <w:r>
              <w:rPr>
                <w:b/>
                <w:sz w:val="24"/>
              </w:rPr>
              <w:t>Les phosphates (PO¯³</w:t>
            </w:r>
            <w:r>
              <w:rPr>
                <w:rFonts w:ascii="Calibri" w:hAnsi="Calibri"/>
                <w:b/>
                <w:sz w:val="24"/>
              </w:rPr>
              <w:t>₄)</w:t>
            </w:r>
          </w:p>
        </w:tc>
        <w:tc>
          <w:tcPr>
            <w:tcW w:w="3418" w:type="dxa"/>
          </w:tcPr>
          <w:p>
            <w:pPr>
              <w:pStyle w:val="TableParagraph"/>
              <w:spacing w:before="2"/>
              <w:ind w:left="1374" w:right="1379"/>
              <w:jc w:val="center"/>
              <w:rPr>
                <w:sz w:val="24"/>
              </w:rPr>
            </w:pPr>
            <w:r>
              <w:rPr>
                <w:sz w:val="24"/>
              </w:rPr>
              <w:t>mg/l</w:t>
            </w:r>
          </w:p>
        </w:tc>
        <w:tc>
          <w:tcPr>
            <w:tcW w:w="3041" w:type="dxa"/>
          </w:tcPr>
          <w:p>
            <w:pPr>
              <w:pStyle w:val="TableParagraph"/>
              <w:spacing w:before="2"/>
              <w:ind w:left="1147" w:right="1155"/>
              <w:jc w:val="center"/>
              <w:rPr>
                <w:sz w:val="24"/>
              </w:rPr>
            </w:pPr>
            <w:r>
              <w:rPr>
                <w:sz w:val="24"/>
              </w:rPr>
              <w:t>0.5</w:t>
            </w:r>
          </w:p>
        </w:tc>
      </w:tr>
      <w:tr>
        <w:trPr>
          <w:trHeight w:val="546" w:hRule="atLeast"/>
        </w:trPr>
        <w:tc>
          <w:tcPr>
            <w:tcW w:w="2661" w:type="dxa"/>
          </w:tcPr>
          <w:p>
            <w:pPr>
              <w:pStyle w:val="TableParagraph"/>
              <w:spacing w:before="9"/>
              <w:rPr>
                <w:rFonts w:ascii="Calibri" w:hAnsi="Calibri"/>
                <w:b/>
                <w:sz w:val="24"/>
              </w:rPr>
            </w:pPr>
            <w:r>
              <w:rPr>
                <w:b/>
                <w:sz w:val="24"/>
              </w:rPr>
              <w:t>L’ammonium (NH</w:t>
            </w:r>
            <w:r>
              <w:rPr>
                <w:rFonts w:ascii="Calibri" w:hAnsi="Calibri"/>
                <w:b/>
                <w:sz w:val="24"/>
              </w:rPr>
              <w:t>₄⁺)</w:t>
            </w:r>
          </w:p>
        </w:tc>
        <w:tc>
          <w:tcPr>
            <w:tcW w:w="3418" w:type="dxa"/>
          </w:tcPr>
          <w:p>
            <w:pPr>
              <w:pStyle w:val="TableParagraph"/>
              <w:spacing w:before="2"/>
              <w:ind w:left="1374" w:right="1379"/>
              <w:jc w:val="center"/>
              <w:rPr>
                <w:sz w:val="24"/>
              </w:rPr>
            </w:pPr>
            <w:r>
              <w:rPr>
                <w:sz w:val="24"/>
              </w:rPr>
              <w:t>mg/l</w:t>
            </w:r>
          </w:p>
        </w:tc>
        <w:tc>
          <w:tcPr>
            <w:tcW w:w="3041" w:type="dxa"/>
          </w:tcPr>
          <w:p>
            <w:pPr>
              <w:pStyle w:val="TableParagraph"/>
              <w:spacing w:before="2"/>
              <w:ind w:left="1147" w:right="1155"/>
              <w:jc w:val="center"/>
              <w:rPr>
                <w:sz w:val="24"/>
              </w:rPr>
            </w:pPr>
            <w:r>
              <w:rPr>
                <w:sz w:val="24"/>
              </w:rPr>
              <w:t>0.5</w:t>
            </w:r>
          </w:p>
        </w:tc>
      </w:tr>
      <w:tr>
        <w:trPr>
          <w:trHeight w:val="546" w:hRule="atLeast"/>
        </w:trPr>
        <w:tc>
          <w:tcPr>
            <w:tcW w:w="2661" w:type="dxa"/>
          </w:tcPr>
          <w:p>
            <w:pPr>
              <w:pStyle w:val="TableParagraph"/>
              <w:spacing w:before="9"/>
              <w:rPr>
                <w:b/>
                <w:sz w:val="24"/>
              </w:rPr>
            </w:pPr>
            <w:r>
              <w:rPr>
                <w:b/>
                <w:sz w:val="24"/>
              </w:rPr>
              <w:t>NH</w:t>
            </w:r>
            <w:r>
              <w:rPr>
                <w:rFonts w:ascii="Calibri" w:hAnsi="Calibri"/>
                <w:b/>
                <w:sz w:val="24"/>
              </w:rPr>
              <w:t>₃</w:t>
            </w:r>
            <w:r>
              <w:rPr>
                <w:b/>
                <w:sz w:val="24"/>
              </w:rPr>
              <w:t>¯</w:t>
            </w:r>
          </w:p>
        </w:tc>
        <w:tc>
          <w:tcPr>
            <w:tcW w:w="3418" w:type="dxa"/>
          </w:tcPr>
          <w:p>
            <w:pPr>
              <w:pStyle w:val="TableParagraph"/>
              <w:spacing w:before="1"/>
              <w:ind w:left="1374" w:right="1379"/>
              <w:jc w:val="center"/>
              <w:rPr>
                <w:sz w:val="24"/>
              </w:rPr>
            </w:pPr>
            <w:r>
              <w:rPr>
                <w:sz w:val="24"/>
              </w:rPr>
              <w:t>mg/l</w:t>
            </w:r>
          </w:p>
        </w:tc>
        <w:tc>
          <w:tcPr>
            <w:tcW w:w="3041" w:type="dxa"/>
          </w:tcPr>
          <w:p>
            <w:pPr>
              <w:pStyle w:val="TableParagraph"/>
              <w:spacing w:before="1"/>
              <w:ind w:left="1147" w:right="1150"/>
              <w:jc w:val="center"/>
              <w:rPr>
                <w:sz w:val="24"/>
              </w:rPr>
            </w:pPr>
            <w:r>
              <w:rPr>
                <w:sz w:val="24"/>
              </w:rPr>
              <w:t>50</w:t>
            </w:r>
          </w:p>
        </w:tc>
      </w:tr>
      <w:tr>
        <w:trPr>
          <w:trHeight w:val="546" w:hRule="atLeast"/>
        </w:trPr>
        <w:tc>
          <w:tcPr>
            <w:tcW w:w="2661" w:type="dxa"/>
          </w:tcPr>
          <w:p>
            <w:pPr>
              <w:pStyle w:val="TableParagraph"/>
              <w:spacing w:before="5"/>
              <w:rPr>
                <w:b/>
                <w:sz w:val="24"/>
              </w:rPr>
            </w:pPr>
            <w:r>
              <w:rPr>
                <w:b/>
                <w:sz w:val="24"/>
              </w:rPr>
              <w:t>Fe</w:t>
            </w:r>
          </w:p>
        </w:tc>
        <w:tc>
          <w:tcPr>
            <w:tcW w:w="3418" w:type="dxa"/>
          </w:tcPr>
          <w:p>
            <w:pPr>
              <w:pStyle w:val="TableParagraph"/>
              <w:spacing w:before="1"/>
              <w:ind w:left="1374" w:right="1379"/>
              <w:jc w:val="center"/>
              <w:rPr>
                <w:sz w:val="24"/>
              </w:rPr>
            </w:pPr>
            <w:r>
              <w:rPr>
                <w:sz w:val="24"/>
              </w:rPr>
              <w:t>mg/l</w:t>
            </w:r>
          </w:p>
        </w:tc>
        <w:tc>
          <w:tcPr>
            <w:tcW w:w="3041" w:type="dxa"/>
          </w:tcPr>
          <w:p>
            <w:pPr>
              <w:pStyle w:val="TableParagraph"/>
              <w:spacing w:before="1"/>
              <w:ind w:left="1147" w:right="1155"/>
              <w:jc w:val="center"/>
              <w:rPr>
                <w:sz w:val="24"/>
              </w:rPr>
            </w:pPr>
            <w:r>
              <w:rPr>
                <w:sz w:val="24"/>
              </w:rPr>
              <w:t>0.3</w:t>
            </w:r>
          </w:p>
        </w:tc>
      </w:tr>
      <w:tr>
        <w:trPr>
          <w:trHeight w:val="578" w:hRule="atLeast"/>
        </w:trPr>
        <w:tc>
          <w:tcPr>
            <w:tcW w:w="2661" w:type="dxa"/>
          </w:tcPr>
          <w:p>
            <w:pPr>
              <w:pStyle w:val="TableParagraph"/>
              <w:spacing w:before="5"/>
              <w:rPr>
                <w:b/>
                <w:sz w:val="24"/>
              </w:rPr>
            </w:pPr>
            <w:r>
              <w:rPr>
                <w:b/>
                <w:sz w:val="24"/>
              </w:rPr>
              <w:t>La turbidité (NTU)</w:t>
            </w:r>
          </w:p>
        </w:tc>
        <w:tc>
          <w:tcPr>
            <w:tcW w:w="3418" w:type="dxa"/>
          </w:tcPr>
          <w:p>
            <w:pPr>
              <w:pStyle w:val="TableParagraph"/>
              <w:spacing w:before="1"/>
              <w:ind w:left="1377" w:right="1379"/>
              <w:jc w:val="center"/>
              <w:rPr>
                <w:sz w:val="24"/>
              </w:rPr>
            </w:pPr>
            <w:r>
              <w:rPr>
                <w:sz w:val="24"/>
              </w:rPr>
              <w:t>NTU</w:t>
            </w:r>
          </w:p>
        </w:tc>
        <w:tc>
          <w:tcPr>
            <w:tcW w:w="3041" w:type="dxa"/>
          </w:tcPr>
          <w:p>
            <w:pPr>
              <w:pStyle w:val="TableParagraph"/>
              <w:spacing w:before="1"/>
              <w:ind w:left="1147" w:right="1150"/>
              <w:jc w:val="center"/>
              <w:rPr>
                <w:sz w:val="24"/>
              </w:rPr>
            </w:pPr>
            <w:r>
              <w:rPr>
                <w:sz w:val="24"/>
              </w:rPr>
              <w:t>05</w:t>
            </w:r>
          </w:p>
        </w:tc>
      </w:tr>
      <w:tr>
        <w:trPr>
          <w:trHeight w:val="573" w:hRule="atLeast"/>
        </w:trPr>
        <w:tc>
          <w:tcPr>
            <w:tcW w:w="2661" w:type="dxa"/>
          </w:tcPr>
          <w:p>
            <w:pPr>
              <w:pStyle w:val="TableParagraph"/>
              <w:rPr>
                <w:b/>
                <w:sz w:val="24"/>
              </w:rPr>
            </w:pPr>
            <w:r>
              <w:rPr>
                <w:b/>
                <w:sz w:val="24"/>
              </w:rPr>
              <w:t>Minéralisation globale d’une eau TDS</w:t>
            </w:r>
          </w:p>
        </w:tc>
        <w:tc>
          <w:tcPr>
            <w:tcW w:w="3418" w:type="dxa"/>
          </w:tcPr>
          <w:p>
            <w:pPr>
              <w:pStyle w:val="TableParagraph"/>
              <w:spacing w:line="272" w:lineRule="exact"/>
              <w:ind w:left="1374" w:right="1379"/>
              <w:jc w:val="center"/>
              <w:rPr>
                <w:sz w:val="24"/>
              </w:rPr>
            </w:pPr>
            <w:r>
              <w:rPr>
                <w:sz w:val="24"/>
              </w:rPr>
              <w:t>mg/l</w:t>
            </w:r>
          </w:p>
        </w:tc>
        <w:tc>
          <w:tcPr>
            <w:tcW w:w="3041" w:type="dxa"/>
          </w:tcPr>
          <w:p>
            <w:pPr>
              <w:pStyle w:val="TableParagraph"/>
              <w:spacing w:line="272" w:lineRule="exact"/>
              <w:ind w:left="1147" w:right="1151"/>
              <w:jc w:val="center"/>
              <w:rPr>
                <w:sz w:val="24"/>
              </w:rPr>
            </w:pPr>
            <w:r>
              <w:rPr>
                <w:sz w:val="24"/>
              </w:rPr>
              <w:t>1000</w:t>
            </w:r>
          </w:p>
        </w:tc>
      </w:tr>
      <w:tr>
        <w:trPr>
          <w:trHeight w:val="578" w:hRule="atLeast"/>
        </w:trPr>
        <w:tc>
          <w:tcPr>
            <w:tcW w:w="2661" w:type="dxa"/>
          </w:tcPr>
          <w:p>
            <w:pPr>
              <w:pStyle w:val="TableParagraph"/>
              <w:spacing w:before="4"/>
              <w:rPr>
                <w:b/>
                <w:sz w:val="24"/>
              </w:rPr>
            </w:pPr>
            <w:r>
              <w:rPr>
                <w:b/>
                <w:sz w:val="24"/>
              </w:rPr>
              <w:t>Nitrite (NO¯</w:t>
            </w:r>
            <w:r>
              <w:rPr>
                <w:b/>
                <w:sz w:val="24"/>
                <w:vertAlign w:val="subscript"/>
              </w:rPr>
              <w:t>2</w:t>
            </w:r>
            <w:r>
              <w:rPr>
                <w:b/>
                <w:sz w:val="24"/>
                <w:vertAlign w:val="baseline"/>
              </w:rPr>
              <w:t>)</w:t>
            </w:r>
          </w:p>
        </w:tc>
        <w:tc>
          <w:tcPr>
            <w:tcW w:w="3418" w:type="dxa"/>
          </w:tcPr>
          <w:p>
            <w:pPr>
              <w:pStyle w:val="TableParagraph"/>
              <w:ind w:left="1374" w:right="1379"/>
              <w:jc w:val="center"/>
              <w:rPr>
                <w:sz w:val="24"/>
              </w:rPr>
            </w:pPr>
            <w:r>
              <w:rPr>
                <w:sz w:val="24"/>
              </w:rPr>
              <w:t>mg/l</w:t>
            </w:r>
          </w:p>
        </w:tc>
        <w:tc>
          <w:tcPr>
            <w:tcW w:w="3041" w:type="dxa"/>
          </w:tcPr>
          <w:p>
            <w:pPr>
              <w:pStyle w:val="TableParagraph"/>
              <w:ind w:left="1147" w:right="1155"/>
              <w:jc w:val="center"/>
              <w:rPr>
                <w:sz w:val="24"/>
              </w:rPr>
            </w:pPr>
            <w:r>
              <w:rPr>
                <w:sz w:val="24"/>
              </w:rPr>
              <w:t>0.1</w:t>
            </w:r>
          </w:p>
        </w:tc>
      </w:tr>
      <w:tr>
        <w:trPr>
          <w:trHeight w:val="573" w:hRule="atLeast"/>
        </w:trPr>
        <w:tc>
          <w:tcPr>
            <w:tcW w:w="2661" w:type="dxa"/>
          </w:tcPr>
          <w:p>
            <w:pPr>
              <w:pStyle w:val="TableParagraph"/>
              <w:spacing w:line="276" w:lineRule="exact"/>
              <w:rPr>
                <w:b/>
                <w:sz w:val="24"/>
              </w:rPr>
            </w:pPr>
            <w:r>
              <w:rPr>
                <w:b/>
                <w:sz w:val="24"/>
              </w:rPr>
              <w:t>Nitrate (NO¯</w:t>
            </w:r>
            <w:r>
              <w:rPr>
                <w:b/>
                <w:sz w:val="24"/>
                <w:vertAlign w:val="subscript"/>
              </w:rPr>
              <w:t>3</w:t>
            </w:r>
            <w:r>
              <w:rPr>
                <w:b/>
                <w:sz w:val="24"/>
                <w:vertAlign w:val="baseline"/>
              </w:rPr>
              <w:t>)</w:t>
            </w:r>
          </w:p>
        </w:tc>
        <w:tc>
          <w:tcPr>
            <w:tcW w:w="3418" w:type="dxa"/>
          </w:tcPr>
          <w:p>
            <w:pPr>
              <w:pStyle w:val="TableParagraph"/>
              <w:spacing w:line="272" w:lineRule="exact"/>
              <w:ind w:left="1374" w:right="1379"/>
              <w:jc w:val="center"/>
              <w:rPr>
                <w:sz w:val="24"/>
              </w:rPr>
            </w:pPr>
            <w:r>
              <w:rPr>
                <w:sz w:val="24"/>
              </w:rPr>
              <w:t>mg/l</w:t>
            </w:r>
          </w:p>
        </w:tc>
        <w:tc>
          <w:tcPr>
            <w:tcW w:w="3041" w:type="dxa"/>
          </w:tcPr>
          <w:p>
            <w:pPr>
              <w:pStyle w:val="TableParagraph"/>
              <w:spacing w:line="272" w:lineRule="exact"/>
              <w:ind w:left="1147" w:right="1150"/>
              <w:jc w:val="center"/>
              <w:rPr>
                <w:sz w:val="24"/>
              </w:rPr>
            </w:pPr>
            <w:r>
              <w:rPr>
                <w:sz w:val="24"/>
              </w:rPr>
              <w:t>50</w:t>
            </w:r>
          </w:p>
        </w:tc>
      </w:tr>
      <w:tr>
        <w:trPr>
          <w:trHeight w:val="577" w:hRule="atLeast"/>
        </w:trPr>
        <w:tc>
          <w:tcPr>
            <w:tcW w:w="2661" w:type="dxa"/>
          </w:tcPr>
          <w:p>
            <w:pPr>
              <w:pStyle w:val="TableParagraph"/>
              <w:spacing w:before="3"/>
              <w:rPr>
                <w:b/>
                <w:sz w:val="24"/>
              </w:rPr>
            </w:pPr>
            <w:r>
              <w:rPr>
                <w:b/>
                <w:sz w:val="24"/>
              </w:rPr>
              <w:t>Résidus secs</w:t>
            </w:r>
          </w:p>
        </w:tc>
        <w:tc>
          <w:tcPr>
            <w:tcW w:w="3418" w:type="dxa"/>
          </w:tcPr>
          <w:p>
            <w:pPr>
              <w:pStyle w:val="TableParagraph"/>
              <w:spacing w:line="275" w:lineRule="exact"/>
              <w:ind w:left="1375" w:right="1379"/>
              <w:jc w:val="center"/>
              <w:rPr>
                <w:sz w:val="24"/>
              </w:rPr>
            </w:pPr>
            <w:r>
              <w:rPr>
                <w:sz w:val="24"/>
              </w:rPr>
              <w:t>mg/l</w:t>
            </w:r>
          </w:p>
        </w:tc>
        <w:tc>
          <w:tcPr>
            <w:tcW w:w="3041" w:type="dxa"/>
          </w:tcPr>
          <w:p>
            <w:pPr>
              <w:pStyle w:val="TableParagraph"/>
              <w:spacing w:line="275" w:lineRule="exact"/>
              <w:ind w:left="1147" w:right="1151"/>
              <w:jc w:val="center"/>
              <w:rPr>
                <w:sz w:val="24"/>
              </w:rPr>
            </w:pPr>
            <w:r>
              <w:rPr>
                <w:sz w:val="24"/>
              </w:rPr>
              <w:t>1500</w:t>
            </w:r>
          </w:p>
        </w:tc>
      </w:tr>
      <w:tr>
        <w:trPr>
          <w:trHeight w:val="578" w:hRule="atLeast"/>
        </w:trPr>
        <w:tc>
          <w:tcPr>
            <w:tcW w:w="2661" w:type="dxa"/>
          </w:tcPr>
          <w:p>
            <w:pPr>
              <w:pStyle w:val="TableParagraph"/>
              <w:spacing w:line="275" w:lineRule="exact"/>
              <w:rPr>
                <w:b/>
                <w:sz w:val="24"/>
              </w:rPr>
            </w:pPr>
            <w:r>
              <w:rPr>
                <w:b/>
                <w:sz w:val="24"/>
              </w:rPr>
              <w:t>Sulfate</w:t>
            </w:r>
          </w:p>
        </w:tc>
        <w:tc>
          <w:tcPr>
            <w:tcW w:w="3418" w:type="dxa"/>
          </w:tcPr>
          <w:p>
            <w:pPr>
              <w:pStyle w:val="TableParagraph"/>
              <w:spacing w:line="271" w:lineRule="exact"/>
              <w:ind w:left="1374" w:right="1379"/>
              <w:jc w:val="center"/>
              <w:rPr>
                <w:sz w:val="24"/>
              </w:rPr>
            </w:pPr>
            <w:r>
              <w:rPr>
                <w:sz w:val="24"/>
              </w:rPr>
              <w:t>mg/l</w:t>
            </w:r>
          </w:p>
        </w:tc>
        <w:tc>
          <w:tcPr>
            <w:tcW w:w="3041" w:type="dxa"/>
          </w:tcPr>
          <w:p>
            <w:pPr>
              <w:pStyle w:val="TableParagraph"/>
              <w:spacing w:line="271" w:lineRule="exact"/>
              <w:ind w:left="1147" w:right="1151"/>
              <w:jc w:val="center"/>
              <w:rPr>
                <w:sz w:val="24"/>
              </w:rPr>
            </w:pPr>
            <w:r>
              <w:rPr>
                <w:sz w:val="24"/>
              </w:rPr>
              <w:t>250</w:t>
            </w:r>
          </w:p>
        </w:tc>
      </w:tr>
    </w:tbl>
    <w:p>
      <w:pPr>
        <w:spacing w:after="0" w:line="271" w:lineRule="exact"/>
        <w:jc w:val="center"/>
        <w:rPr>
          <w:sz w:val="24"/>
        </w:rPr>
        <w:sectPr>
          <w:headerReference w:type="default" r:id="rId171"/>
          <w:footerReference w:type="default" r:id="rId172"/>
          <w:pgSz w:w="11900" w:h="16840"/>
          <w:pgMar w:header="0" w:footer="0" w:top="1360" w:bottom="280" w:left="740" w:right="0"/>
        </w:sectPr>
      </w:pPr>
    </w:p>
    <w:p>
      <w:pPr>
        <w:pStyle w:val="BodyText"/>
        <w:spacing w:before="3"/>
        <w:rPr>
          <w:sz w:val="22"/>
        </w:rPr>
      </w:pPr>
    </w:p>
    <w:p>
      <w:pPr>
        <w:pStyle w:val="BodyText"/>
        <w:spacing w:before="90"/>
        <w:ind w:left="675"/>
      </w:pPr>
      <w:r>
        <w:rPr>
          <w:b/>
        </w:rPr>
        <w:t>Tableau 02 : </w:t>
      </w:r>
      <w:r>
        <w:rPr/>
        <w:t>Normes bactériologiques de l’eau de consommation (directive de l’OMS 2011)</w:t>
      </w:r>
    </w:p>
    <w:p>
      <w:pPr>
        <w:pStyle w:val="BodyText"/>
        <w:spacing w:before="4"/>
        <w:rPr>
          <w:sz w:val="20"/>
        </w:rPr>
      </w:pPr>
    </w:p>
    <w:tbl>
      <w:tblPr>
        <w:tblW w:w="0" w:type="auto"/>
        <w:jc w:val="left"/>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01"/>
        <w:gridCol w:w="3097"/>
        <w:gridCol w:w="3101"/>
      </w:tblGrid>
      <w:tr>
        <w:trPr>
          <w:trHeight w:val="742" w:hRule="atLeast"/>
        </w:trPr>
        <w:tc>
          <w:tcPr>
            <w:tcW w:w="3101" w:type="dxa"/>
          </w:tcPr>
          <w:p>
            <w:pPr>
              <w:pStyle w:val="TableParagraph"/>
              <w:spacing w:before="4"/>
              <w:ind w:left="1001"/>
              <w:rPr>
                <w:b/>
                <w:sz w:val="24"/>
              </w:rPr>
            </w:pPr>
            <w:r>
              <w:rPr>
                <w:b/>
                <w:sz w:val="24"/>
              </w:rPr>
              <w:t>Paramètre</w:t>
            </w:r>
          </w:p>
        </w:tc>
        <w:tc>
          <w:tcPr>
            <w:tcW w:w="3097" w:type="dxa"/>
          </w:tcPr>
          <w:p>
            <w:pPr>
              <w:pStyle w:val="TableParagraph"/>
              <w:spacing w:before="4"/>
              <w:ind w:left="811"/>
              <w:rPr>
                <w:b/>
                <w:sz w:val="24"/>
              </w:rPr>
            </w:pPr>
            <w:r>
              <w:rPr>
                <w:b/>
                <w:sz w:val="24"/>
              </w:rPr>
              <w:t>Unité</w:t>
            </w:r>
          </w:p>
        </w:tc>
        <w:tc>
          <w:tcPr>
            <w:tcW w:w="3101" w:type="dxa"/>
          </w:tcPr>
          <w:p>
            <w:pPr>
              <w:pStyle w:val="TableParagraph"/>
              <w:spacing w:before="4"/>
              <w:ind w:left="809"/>
              <w:rPr>
                <w:b/>
                <w:sz w:val="24"/>
              </w:rPr>
            </w:pPr>
            <w:r>
              <w:rPr>
                <w:b/>
                <w:sz w:val="24"/>
              </w:rPr>
              <w:t>Normes</w:t>
            </w:r>
          </w:p>
        </w:tc>
      </w:tr>
      <w:tr>
        <w:trPr>
          <w:trHeight w:val="826" w:hRule="atLeast"/>
        </w:trPr>
        <w:tc>
          <w:tcPr>
            <w:tcW w:w="3101" w:type="dxa"/>
          </w:tcPr>
          <w:p>
            <w:pPr>
              <w:pStyle w:val="TableParagraph"/>
              <w:spacing w:before="8"/>
              <w:rPr>
                <w:b/>
                <w:sz w:val="24"/>
              </w:rPr>
            </w:pPr>
            <w:r>
              <w:rPr>
                <w:b/>
                <w:sz w:val="24"/>
              </w:rPr>
              <w:t>La flore mésophile totale</w:t>
            </w:r>
          </w:p>
        </w:tc>
        <w:tc>
          <w:tcPr>
            <w:tcW w:w="3097" w:type="dxa"/>
          </w:tcPr>
          <w:p>
            <w:pPr>
              <w:pStyle w:val="TableParagraph"/>
              <w:spacing w:before="3"/>
              <w:ind w:left="0"/>
              <w:rPr>
                <w:sz w:val="24"/>
              </w:rPr>
            </w:pPr>
          </w:p>
          <w:p>
            <w:pPr>
              <w:pStyle w:val="TableParagraph"/>
              <w:ind w:left="811"/>
              <w:rPr>
                <w:sz w:val="24"/>
              </w:rPr>
            </w:pPr>
            <w:r>
              <w:rPr>
                <w:sz w:val="24"/>
              </w:rPr>
              <w:t>UFC</w:t>
            </w:r>
          </w:p>
        </w:tc>
        <w:tc>
          <w:tcPr>
            <w:tcW w:w="3101" w:type="dxa"/>
          </w:tcPr>
          <w:p>
            <w:pPr>
              <w:pStyle w:val="TableParagraph"/>
              <w:spacing w:before="3"/>
              <w:ind w:left="0"/>
              <w:rPr>
                <w:sz w:val="24"/>
              </w:rPr>
            </w:pPr>
          </w:p>
          <w:p>
            <w:pPr>
              <w:pStyle w:val="TableParagraph"/>
              <w:ind w:left="853" w:right="1093"/>
              <w:jc w:val="center"/>
              <w:rPr>
                <w:sz w:val="24"/>
              </w:rPr>
            </w:pPr>
            <w:r>
              <w:rPr>
                <w:sz w:val="24"/>
              </w:rPr>
              <w:t>100/ml</w:t>
            </w:r>
          </w:p>
        </w:tc>
      </w:tr>
      <w:tr>
        <w:trPr>
          <w:trHeight w:val="826" w:hRule="atLeast"/>
        </w:trPr>
        <w:tc>
          <w:tcPr>
            <w:tcW w:w="3101" w:type="dxa"/>
          </w:tcPr>
          <w:p>
            <w:pPr>
              <w:pStyle w:val="TableParagraph"/>
              <w:spacing w:before="7"/>
              <w:rPr>
                <w:b/>
                <w:sz w:val="24"/>
              </w:rPr>
            </w:pPr>
            <w:r>
              <w:rPr>
                <w:b/>
                <w:sz w:val="24"/>
              </w:rPr>
              <w:t>Les coliformes totaux</w:t>
            </w:r>
          </w:p>
        </w:tc>
        <w:tc>
          <w:tcPr>
            <w:tcW w:w="3097" w:type="dxa"/>
          </w:tcPr>
          <w:p>
            <w:pPr>
              <w:pStyle w:val="TableParagraph"/>
              <w:spacing w:before="3"/>
              <w:ind w:left="0"/>
              <w:rPr>
                <w:sz w:val="24"/>
              </w:rPr>
            </w:pPr>
          </w:p>
          <w:p>
            <w:pPr>
              <w:pStyle w:val="TableParagraph"/>
              <w:ind w:left="811"/>
              <w:rPr>
                <w:sz w:val="24"/>
              </w:rPr>
            </w:pPr>
            <w:r>
              <w:rPr>
                <w:sz w:val="24"/>
              </w:rPr>
              <w:t>UFC</w:t>
            </w:r>
          </w:p>
        </w:tc>
        <w:tc>
          <w:tcPr>
            <w:tcW w:w="3101" w:type="dxa"/>
          </w:tcPr>
          <w:p>
            <w:pPr>
              <w:pStyle w:val="TableParagraph"/>
              <w:spacing w:before="3"/>
              <w:ind w:left="0"/>
              <w:rPr>
                <w:sz w:val="24"/>
              </w:rPr>
            </w:pPr>
          </w:p>
          <w:p>
            <w:pPr>
              <w:pStyle w:val="TableParagraph"/>
              <w:ind w:left="1037" w:right="1093"/>
              <w:jc w:val="center"/>
              <w:rPr>
                <w:sz w:val="24"/>
              </w:rPr>
            </w:pPr>
            <w:r>
              <w:rPr>
                <w:sz w:val="24"/>
              </w:rPr>
              <w:t>10/100ml</w:t>
            </w:r>
          </w:p>
        </w:tc>
      </w:tr>
      <w:tr>
        <w:trPr>
          <w:trHeight w:val="786" w:hRule="atLeast"/>
        </w:trPr>
        <w:tc>
          <w:tcPr>
            <w:tcW w:w="3101" w:type="dxa"/>
          </w:tcPr>
          <w:p>
            <w:pPr>
              <w:pStyle w:val="TableParagraph"/>
              <w:spacing w:before="7"/>
              <w:rPr>
                <w:b/>
                <w:sz w:val="24"/>
              </w:rPr>
            </w:pPr>
            <w:r>
              <w:rPr>
                <w:b/>
                <w:sz w:val="24"/>
              </w:rPr>
              <w:t>Les coliformes fécaux</w:t>
            </w:r>
          </w:p>
        </w:tc>
        <w:tc>
          <w:tcPr>
            <w:tcW w:w="3097" w:type="dxa"/>
          </w:tcPr>
          <w:p>
            <w:pPr>
              <w:pStyle w:val="TableParagraph"/>
              <w:spacing w:before="3"/>
              <w:ind w:left="0"/>
              <w:rPr>
                <w:sz w:val="24"/>
              </w:rPr>
            </w:pPr>
          </w:p>
          <w:p>
            <w:pPr>
              <w:pStyle w:val="TableParagraph"/>
              <w:ind w:left="811"/>
              <w:rPr>
                <w:sz w:val="24"/>
              </w:rPr>
            </w:pPr>
            <w:r>
              <w:rPr>
                <w:sz w:val="24"/>
              </w:rPr>
              <w:t>UFC</w:t>
            </w:r>
          </w:p>
        </w:tc>
        <w:tc>
          <w:tcPr>
            <w:tcW w:w="3101" w:type="dxa"/>
          </w:tcPr>
          <w:p>
            <w:pPr>
              <w:pStyle w:val="TableParagraph"/>
              <w:spacing w:before="3"/>
              <w:ind w:left="0"/>
              <w:rPr>
                <w:sz w:val="24"/>
              </w:rPr>
            </w:pPr>
          </w:p>
          <w:p>
            <w:pPr>
              <w:pStyle w:val="TableParagraph"/>
              <w:ind w:left="1061"/>
              <w:rPr>
                <w:sz w:val="24"/>
              </w:rPr>
            </w:pPr>
            <w:r>
              <w:rPr>
                <w:sz w:val="24"/>
              </w:rPr>
              <w:t>0UFC/100</w:t>
            </w:r>
          </w:p>
        </w:tc>
      </w:tr>
      <w:tr>
        <w:trPr>
          <w:trHeight w:val="870" w:hRule="atLeast"/>
        </w:trPr>
        <w:tc>
          <w:tcPr>
            <w:tcW w:w="3101" w:type="dxa"/>
          </w:tcPr>
          <w:p>
            <w:pPr>
              <w:pStyle w:val="TableParagraph"/>
              <w:spacing w:before="6"/>
              <w:rPr>
                <w:b/>
                <w:sz w:val="24"/>
              </w:rPr>
            </w:pPr>
            <w:r>
              <w:rPr>
                <w:b/>
                <w:sz w:val="24"/>
              </w:rPr>
              <w:t>Les streptocoques fécaux</w:t>
            </w:r>
          </w:p>
        </w:tc>
        <w:tc>
          <w:tcPr>
            <w:tcW w:w="3097" w:type="dxa"/>
          </w:tcPr>
          <w:p>
            <w:pPr>
              <w:pStyle w:val="TableParagraph"/>
              <w:spacing w:before="2"/>
              <w:ind w:left="0"/>
              <w:rPr>
                <w:sz w:val="24"/>
              </w:rPr>
            </w:pPr>
          </w:p>
          <w:p>
            <w:pPr>
              <w:pStyle w:val="TableParagraph"/>
              <w:ind w:left="811"/>
              <w:rPr>
                <w:sz w:val="24"/>
              </w:rPr>
            </w:pPr>
            <w:r>
              <w:rPr>
                <w:sz w:val="24"/>
              </w:rPr>
              <w:t>UFC</w:t>
            </w:r>
          </w:p>
        </w:tc>
        <w:tc>
          <w:tcPr>
            <w:tcW w:w="3101" w:type="dxa"/>
          </w:tcPr>
          <w:p>
            <w:pPr>
              <w:pStyle w:val="TableParagraph"/>
              <w:spacing w:before="2"/>
              <w:ind w:left="0"/>
              <w:rPr>
                <w:sz w:val="24"/>
              </w:rPr>
            </w:pPr>
          </w:p>
          <w:p>
            <w:pPr>
              <w:pStyle w:val="TableParagraph"/>
              <w:ind w:left="0" w:right="854"/>
              <w:jc w:val="center"/>
              <w:rPr>
                <w:sz w:val="24"/>
              </w:rPr>
            </w:pPr>
            <w:r>
              <w:rPr>
                <w:sz w:val="24"/>
              </w:rPr>
              <w:t>0</w:t>
            </w:r>
          </w:p>
        </w:tc>
      </w:tr>
      <w:tr>
        <w:trPr>
          <w:trHeight w:val="826" w:hRule="atLeast"/>
        </w:trPr>
        <w:tc>
          <w:tcPr>
            <w:tcW w:w="3101" w:type="dxa"/>
          </w:tcPr>
          <w:p>
            <w:pPr>
              <w:pStyle w:val="TableParagraph"/>
              <w:spacing w:before="1"/>
              <w:rPr>
                <w:b/>
                <w:sz w:val="24"/>
              </w:rPr>
            </w:pPr>
            <w:r>
              <w:rPr>
                <w:b/>
                <w:sz w:val="24"/>
              </w:rPr>
              <w:t>Les anaérobies sulfito- réducteurs</w:t>
            </w:r>
          </w:p>
        </w:tc>
        <w:tc>
          <w:tcPr>
            <w:tcW w:w="3097" w:type="dxa"/>
          </w:tcPr>
          <w:p>
            <w:pPr>
              <w:pStyle w:val="TableParagraph"/>
              <w:spacing w:before="8"/>
              <w:ind w:left="0"/>
              <w:rPr>
                <w:sz w:val="23"/>
              </w:rPr>
            </w:pPr>
          </w:p>
          <w:p>
            <w:pPr>
              <w:pStyle w:val="TableParagraph"/>
              <w:spacing w:before="1"/>
              <w:ind w:left="0" w:right="942"/>
              <w:jc w:val="center"/>
              <w:rPr>
                <w:sz w:val="24"/>
              </w:rPr>
            </w:pPr>
            <w:r>
              <w:rPr>
                <w:w w:val="99"/>
                <w:sz w:val="24"/>
              </w:rPr>
              <w:t>-</w:t>
            </w:r>
          </w:p>
        </w:tc>
        <w:tc>
          <w:tcPr>
            <w:tcW w:w="3101" w:type="dxa"/>
          </w:tcPr>
          <w:p>
            <w:pPr>
              <w:pStyle w:val="TableParagraph"/>
              <w:spacing w:before="8"/>
              <w:ind w:left="0"/>
              <w:rPr>
                <w:sz w:val="23"/>
              </w:rPr>
            </w:pPr>
          </w:p>
          <w:p>
            <w:pPr>
              <w:pStyle w:val="TableParagraph"/>
              <w:spacing w:before="1"/>
              <w:ind w:left="1001"/>
              <w:rPr>
                <w:sz w:val="24"/>
              </w:rPr>
            </w:pPr>
            <w:r>
              <w:rPr>
                <w:sz w:val="24"/>
              </w:rPr>
              <w:t>0</w:t>
            </w:r>
          </w:p>
        </w:tc>
      </w:tr>
    </w:tbl>
    <w:p>
      <w:pPr>
        <w:spacing w:after="0"/>
        <w:rPr>
          <w:sz w:val="24"/>
        </w:rPr>
        <w:sectPr>
          <w:headerReference w:type="default" r:id="rId173"/>
          <w:footerReference w:type="default" r:id="rId174"/>
          <w:pgSz w:w="11900" w:h="16840"/>
          <w:pgMar w:header="0" w:footer="0" w:top="1600" w:bottom="280" w:left="74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3"/>
        </w:rPr>
      </w:pPr>
    </w:p>
    <w:p>
      <w:pPr>
        <w:pStyle w:val="Heading1"/>
        <w:ind w:left="3582"/>
      </w:pPr>
      <w:r>
        <w:rPr>
          <w:color w:val="8063A1"/>
        </w:rPr>
        <w:t>Résumé</w:t>
      </w:r>
    </w:p>
    <w:p>
      <w:pPr>
        <w:spacing w:after="0"/>
        <w:sectPr>
          <w:headerReference w:type="default" r:id="rId175"/>
          <w:footerReference w:type="default" r:id="rId176"/>
          <w:pgSz w:w="11900" w:h="16840"/>
          <w:pgMar w:header="0" w:footer="0" w:top="1600" w:bottom="280" w:left="740" w:right="0"/>
          <w:pgBorders w:offsetFrom="page">
            <w:top w:val="single" w:color="000000" w:space="24" w:sz="36"/>
            <w:left w:val="single" w:color="000000" w:space="24" w:sz="36"/>
            <w:bottom w:val="single" w:color="000000" w:space="24" w:sz="36"/>
            <w:right w:val="single" w:color="000000" w:space="23" w:sz="36"/>
          </w:pgBorders>
        </w:sectPr>
      </w:pPr>
    </w:p>
    <w:p>
      <w:pPr>
        <w:pStyle w:val="Heading3"/>
        <w:spacing w:before="73"/>
        <w:ind w:left="1767"/>
      </w:pPr>
      <w:r>
        <w:rPr/>
        <w:t>Résumé</w:t>
      </w:r>
    </w:p>
    <w:p>
      <w:pPr>
        <w:pStyle w:val="BodyText"/>
        <w:spacing w:before="191"/>
        <w:ind w:left="1059" w:right="1802" w:firstLine="708"/>
        <w:jc w:val="both"/>
      </w:pPr>
      <w:r>
        <w:rPr/>
        <w:t>Le présent travail présente une série d’analyses pour déterminer la qualité physico-chimique et bactériologique des eaux de quelques sources dans la région de Guelma.</w:t>
      </w:r>
    </w:p>
    <w:p>
      <w:pPr>
        <w:pStyle w:val="BodyText"/>
        <w:spacing w:before="200"/>
        <w:ind w:left="1059" w:right="1792" w:firstLine="708"/>
        <w:jc w:val="both"/>
      </w:pPr>
      <w:r>
        <w:rPr/>
        <w:t>Les analyses physico-chimiques (pH, taux de chlorures, sulfates….. etc.) et bactériologiques (présence </w:t>
      </w:r>
      <w:r>
        <w:rPr>
          <w:spacing w:val="-3"/>
        </w:rPr>
        <w:t>de </w:t>
      </w:r>
      <w:r>
        <w:rPr/>
        <w:t>coliformes, les </w:t>
      </w:r>
      <w:r>
        <w:rPr>
          <w:spacing w:val="-3"/>
        </w:rPr>
        <w:t>ASR </w:t>
      </w:r>
      <w:r>
        <w:rPr/>
        <w:t>…etc.) ont été effectuées sur des échantillons prélevés durant une période étalée sur trois mois allant de février jusqu’au mois d’avril 2016 au niveau </w:t>
      </w:r>
      <w:r>
        <w:rPr>
          <w:spacing w:val="-3"/>
        </w:rPr>
        <w:t>de </w:t>
      </w:r>
      <w:r>
        <w:rPr/>
        <w:t>laboratoire d’ADE à Hammam</w:t>
      </w:r>
      <w:r>
        <w:rPr>
          <w:spacing w:val="-5"/>
        </w:rPr>
        <w:t> </w:t>
      </w:r>
      <w:r>
        <w:rPr/>
        <w:t>Debagh.</w:t>
      </w:r>
    </w:p>
    <w:p>
      <w:pPr>
        <w:pStyle w:val="BodyText"/>
        <w:spacing w:before="199"/>
        <w:ind w:left="1059" w:right="1800" w:firstLine="708"/>
        <w:jc w:val="both"/>
      </w:pPr>
      <w:r>
        <w:rPr/>
        <w:t>Les résultats obtenus montrent que les 06 sources échantillonnées sont généralement de bonnes qualités physico-chimiques et conformes aux normes OMS.</w:t>
      </w:r>
    </w:p>
    <w:p>
      <w:pPr>
        <w:spacing w:before="200"/>
        <w:ind w:left="1059" w:right="1796" w:firstLine="708"/>
        <w:jc w:val="both"/>
        <w:rPr>
          <w:sz w:val="24"/>
        </w:rPr>
      </w:pPr>
      <w:r>
        <w:rPr>
          <w:sz w:val="24"/>
        </w:rPr>
        <w:t>Concernant la qualité bactériologique : Ain Bniguimen et Ain Askor présentent une qualité bactériologique acceptable alors que les sources d’Ain Bouzerfa, Boua Ouled Chiha et Ain Guettara sont contaminés (présence de quelques colonies </w:t>
      </w:r>
      <w:r>
        <w:rPr>
          <w:spacing w:val="-3"/>
          <w:sz w:val="24"/>
        </w:rPr>
        <w:t>de </w:t>
      </w:r>
      <w:r>
        <w:rPr>
          <w:i/>
          <w:sz w:val="24"/>
        </w:rPr>
        <w:t>coliformes fécaux</w:t>
      </w:r>
      <w:r>
        <w:rPr>
          <w:sz w:val="24"/>
        </w:rPr>
        <w:t>), par contre, Ain Drahem est </w:t>
      </w:r>
      <w:r>
        <w:rPr>
          <w:spacing w:val="-3"/>
          <w:sz w:val="24"/>
        </w:rPr>
        <w:t>de </w:t>
      </w:r>
      <w:r>
        <w:rPr>
          <w:sz w:val="24"/>
        </w:rPr>
        <w:t>mauvaise qualité bactériologique (présence de nombre supérieur de : </w:t>
      </w:r>
      <w:r>
        <w:rPr>
          <w:i/>
          <w:sz w:val="24"/>
        </w:rPr>
        <w:t>Germe totaux</w:t>
      </w:r>
      <w:r>
        <w:rPr>
          <w:sz w:val="24"/>
        </w:rPr>
        <w:t>, </w:t>
      </w:r>
      <w:r>
        <w:rPr>
          <w:i/>
          <w:sz w:val="24"/>
        </w:rPr>
        <w:t>coliformes totaux</w:t>
      </w:r>
      <w:r>
        <w:rPr>
          <w:sz w:val="24"/>
        </w:rPr>
        <w:t>, </w:t>
      </w:r>
      <w:r>
        <w:rPr>
          <w:i/>
          <w:sz w:val="24"/>
        </w:rPr>
        <w:t>coliformes thermaux tolérant </w:t>
      </w:r>
      <w:r>
        <w:rPr>
          <w:sz w:val="24"/>
        </w:rPr>
        <w:t>(E. coli), </w:t>
      </w:r>
      <w:r>
        <w:rPr>
          <w:i/>
          <w:sz w:val="24"/>
        </w:rPr>
        <w:t>streptocoques</w:t>
      </w:r>
      <w:r>
        <w:rPr>
          <w:i/>
          <w:spacing w:val="-6"/>
          <w:sz w:val="24"/>
        </w:rPr>
        <w:t> </w:t>
      </w:r>
      <w:r>
        <w:rPr>
          <w:i/>
          <w:sz w:val="24"/>
        </w:rPr>
        <w:t>fécaux</w:t>
      </w:r>
      <w:r>
        <w:rPr>
          <w:sz w:val="24"/>
        </w:rPr>
        <w:t>.</w:t>
      </w:r>
    </w:p>
    <w:p>
      <w:pPr>
        <w:pStyle w:val="BodyText"/>
        <w:spacing w:before="200"/>
        <w:ind w:left="1059" w:right="1796" w:firstLine="708"/>
        <w:jc w:val="both"/>
      </w:pPr>
      <w:r>
        <w:rPr>
          <w:rFonts w:ascii="Arial Rounded MT Bold" w:hAnsi="Arial Rounded MT Bold"/>
          <w:b/>
        </w:rPr>
        <w:t>Mots clés </w:t>
      </w:r>
      <w:r>
        <w:rPr/>
        <w:t>: Analyses, Qualité physico-chimique, Bactériologique, Contamination, Guelma, Source.</w:t>
      </w:r>
    </w:p>
    <w:p>
      <w:pPr>
        <w:pStyle w:val="BodyText"/>
        <w:rPr>
          <w:sz w:val="26"/>
        </w:rPr>
      </w:pPr>
    </w:p>
    <w:p>
      <w:pPr>
        <w:pStyle w:val="BodyText"/>
        <w:spacing w:before="4"/>
        <w:rPr>
          <w:sz w:val="33"/>
        </w:rPr>
      </w:pPr>
    </w:p>
    <w:p>
      <w:pPr>
        <w:pStyle w:val="Heading3"/>
        <w:spacing w:before="0"/>
        <w:ind w:left="1059"/>
      </w:pPr>
      <w:r>
        <w:rPr/>
        <w:t>Abstrat</w:t>
      </w:r>
    </w:p>
    <w:p>
      <w:pPr>
        <w:pStyle w:val="BodyText"/>
        <w:spacing w:line="273" w:lineRule="auto" w:before="247"/>
        <w:ind w:left="1059" w:right="1792" w:firstLine="708"/>
        <w:jc w:val="both"/>
      </w:pPr>
      <w:r>
        <w:rPr/>
        <w:t>The present work presents a set of analyses to determine the physico-chemical and bacteriological water quality of some sources in the region of Guelma.</w:t>
      </w:r>
    </w:p>
    <w:p>
      <w:pPr>
        <w:pStyle w:val="BodyText"/>
        <w:spacing w:line="276" w:lineRule="auto" w:before="203"/>
        <w:ind w:left="1059" w:right="1791" w:firstLine="708"/>
        <w:jc w:val="both"/>
      </w:pPr>
      <w:r>
        <w:rPr/>
        <w:t>The physico-chemical analyses (pH, chloride level, sulphates ... .. etc.) and bacteriological analyses (presence of coliforms, ASR ... etc.) were performed on samples taken during a period of three months, from February to April 2016 at the laboratory of ADE Hammam Debagh.</w:t>
      </w:r>
    </w:p>
    <w:p>
      <w:pPr>
        <w:pStyle w:val="BodyText"/>
        <w:spacing w:line="276" w:lineRule="auto" w:before="201"/>
        <w:ind w:left="1059" w:right="1796" w:firstLine="708"/>
        <w:jc w:val="both"/>
      </w:pPr>
      <w:r>
        <w:rPr/>
        <w:t>The results showed that the 06 sampled sources are usually good regarding the physic-chemical qualities and comply with WHO standards.</w:t>
      </w:r>
    </w:p>
    <w:p>
      <w:pPr>
        <w:pStyle w:val="BodyText"/>
        <w:spacing w:line="276" w:lineRule="auto" w:before="197"/>
        <w:ind w:left="1059" w:right="1794" w:firstLine="708"/>
        <w:jc w:val="both"/>
      </w:pPr>
      <w:r>
        <w:rPr/>
        <w:t>The bacteriological quality of :Ain Bniguimen and Ain Askor exhibit acceptable bacteriological quality while Bouzerfa Ain, BouaOuled Chiha and Ain Guettara sources are contaminated (presence of some colonies of fecal coliforms) contrariwise, Ain Drahem showed a bad bacteriological quality (presence of greater number of: total germ, total coliforms, thermal tolerant coliform (E. Coli), faecal streptococci.</w:t>
      </w:r>
    </w:p>
    <w:p>
      <w:pPr>
        <w:pStyle w:val="BodyText"/>
        <w:spacing w:line="273" w:lineRule="auto" w:before="203"/>
        <w:ind w:left="1059" w:right="2095"/>
      </w:pPr>
      <w:r>
        <w:rPr>
          <w:b/>
        </w:rPr>
        <w:t>Keywords: </w:t>
      </w:r>
      <w:r>
        <w:rPr/>
        <w:t>Analyses, physicochemical quality, Bacteriological, Contamination, Guelma, source.</w:t>
      </w:r>
    </w:p>
    <w:p>
      <w:pPr>
        <w:spacing w:after="0" w:line="273" w:lineRule="auto"/>
        <w:sectPr>
          <w:headerReference w:type="default" r:id="rId177"/>
          <w:footerReference w:type="default" r:id="rId178"/>
          <w:pgSz w:w="11900" w:h="16840"/>
          <w:pgMar w:header="0" w:footer="0" w:top="1380" w:bottom="280" w:left="740" w:right="0"/>
        </w:sectPr>
      </w:pPr>
    </w:p>
    <w:p>
      <w:pPr>
        <w:pStyle w:val="BodyText"/>
        <w:spacing w:before="8"/>
        <w:rPr>
          <w:sz w:val="23"/>
        </w:rPr>
      </w:pPr>
    </w:p>
    <w:p>
      <w:pPr>
        <w:pStyle w:val="Heading3"/>
        <w:bidi/>
        <w:ind w:left="1797" w:right="0"/>
        <w:jc w:val="left"/>
      </w:pPr>
      <w:r>
        <w:rPr>
          <w:w w:val="115"/>
        </w:rPr>
        <w:t>م</w:t>
      </w:r>
      <w:r>
        <w:rPr>
          <w:spacing w:val="-2"/>
          <w:w w:val="51"/>
        </w:rPr>
        <w:t>ل</w:t>
      </w:r>
      <w:r>
        <w:rPr>
          <w:spacing w:val="1"/>
          <w:w w:val="90"/>
        </w:rPr>
        <w:t>خ</w:t>
      </w:r>
      <w:r>
        <w:rPr>
          <w:spacing w:val="-2"/>
        </w:rPr>
        <w:t>ص</w:t>
      </w:r>
    </w:p>
    <w:p>
      <w:pPr>
        <w:bidi/>
        <w:spacing w:before="246"/>
        <w:ind w:left="1809" w:right="0" w:firstLine="0"/>
        <w:jc w:val="left"/>
        <w:rPr>
          <w:sz w:val="22"/>
          <w:szCs w:val="22"/>
        </w:rPr>
      </w:pPr>
      <w:r>
        <w:rPr>
          <w:sz w:val="22"/>
          <w:szCs w:val="22"/>
        </w:rPr>
        <w:t>ا</w:t>
      </w:r>
      <w:r>
        <w:rPr>
          <w:spacing w:val="-2"/>
          <w:w w:val="39"/>
          <w:sz w:val="22"/>
          <w:szCs w:val="22"/>
        </w:rPr>
        <w:t>ن</w:t>
      </w:r>
      <w:r>
        <w:rPr>
          <w:spacing w:val="1"/>
          <w:w w:val="48"/>
          <w:sz w:val="22"/>
          <w:szCs w:val="22"/>
        </w:rPr>
        <w:t>ؼ</w:t>
      </w:r>
      <w:r>
        <w:rPr>
          <w:spacing w:val="1"/>
          <w:sz w:val="22"/>
          <w:szCs w:val="22"/>
        </w:rPr>
        <w:t>ً</w:t>
      </w:r>
      <w:r>
        <w:rPr>
          <w:w w:val="149"/>
          <w:sz w:val="22"/>
          <w:szCs w:val="22"/>
        </w:rPr>
        <w:t>م</w:t>
      </w:r>
      <w:r>
        <w:rPr>
          <w:spacing w:val="-1"/>
          <w:sz w:val="22"/>
          <w:szCs w:val="22"/>
        </w:rPr>
        <w:t> </w:t>
      </w:r>
      <w:r>
        <w:rPr>
          <w:sz w:val="22"/>
          <w:szCs w:val="22"/>
        </w:rPr>
        <w:t>ا</w:t>
      </w:r>
      <w:r>
        <w:rPr>
          <w:spacing w:val="-3"/>
          <w:w w:val="67"/>
          <w:sz w:val="22"/>
          <w:szCs w:val="22"/>
        </w:rPr>
        <w:t>ن</w:t>
      </w:r>
      <w:r>
        <w:rPr>
          <w:w w:val="67"/>
          <w:sz w:val="22"/>
          <w:szCs w:val="22"/>
        </w:rPr>
        <w:t>ح</w:t>
      </w:r>
      <w:r>
        <w:rPr>
          <w:spacing w:val="1"/>
          <w:w w:val="32"/>
          <w:sz w:val="22"/>
          <w:szCs w:val="22"/>
        </w:rPr>
        <w:t>ب</w:t>
      </w:r>
      <w:r>
        <w:rPr>
          <w:spacing w:val="-2"/>
          <w:w w:val="39"/>
          <w:sz w:val="22"/>
          <w:szCs w:val="22"/>
        </w:rPr>
        <w:t>ن</w:t>
      </w:r>
      <w:r>
        <w:rPr>
          <w:spacing w:val="-2"/>
          <w:sz w:val="22"/>
          <w:szCs w:val="22"/>
        </w:rPr>
        <w:t>ٍ</w:t>
      </w:r>
      <w:r>
        <w:rPr>
          <w:spacing w:val="-1"/>
          <w:sz w:val="22"/>
          <w:szCs w:val="22"/>
        </w:rPr>
        <w:t> </w:t>
      </w:r>
      <w:r>
        <w:rPr>
          <w:sz w:val="22"/>
          <w:szCs w:val="22"/>
        </w:rPr>
        <w:t>َ</w:t>
      </w:r>
      <w:r>
        <w:rPr>
          <w:spacing w:val="1"/>
          <w:w w:val="54"/>
          <w:sz w:val="22"/>
          <w:szCs w:val="22"/>
        </w:rPr>
        <w:t>ؼ</w:t>
      </w:r>
      <w:r>
        <w:rPr>
          <w:w w:val="54"/>
          <w:sz w:val="22"/>
          <w:szCs w:val="22"/>
        </w:rPr>
        <w:t>ش</w:t>
      </w:r>
      <w:r>
        <w:rPr>
          <w:spacing w:val="-2"/>
          <w:sz w:val="22"/>
          <w:szCs w:val="22"/>
        </w:rPr>
        <w:t>ض</w:t>
      </w:r>
      <w:r>
        <w:rPr>
          <w:sz w:val="22"/>
          <w:szCs w:val="22"/>
        </w:rPr>
        <w:t> </w:t>
      </w:r>
      <w:r>
        <w:rPr>
          <w:w w:val="64"/>
          <w:sz w:val="22"/>
          <w:szCs w:val="22"/>
        </w:rPr>
        <w:t>س</w:t>
      </w:r>
      <w:r>
        <w:rPr>
          <w:spacing w:val="-2"/>
          <w:w w:val="73"/>
          <w:sz w:val="22"/>
          <w:szCs w:val="22"/>
        </w:rPr>
        <w:t>ه</w:t>
      </w:r>
      <w:r>
        <w:rPr>
          <w:spacing w:val="-1"/>
          <w:w w:val="64"/>
          <w:sz w:val="22"/>
          <w:szCs w:val="22"/>
        </w:rPr>
        <w:t>س</w:t>
      </w:r>
      <w:r>
        <w:rPr>
          <w:spacing w:val="-2"/>
          <w:w w:val="73"/>
          <w:sz w:val="22"/>
          <w:szCs w:val="22"/>
        </w:rPr>
        <w:t>ه</w:t>
      </w:r>
      <w:r>
        <w:rPr>
          <w:spacing w:val="1"/>
          <w:w w:val="52"/>
          <w:sz w:val="22"/>
          <w:szCs w:val="22"/>
        </w:rPr>
        <w:t>ت</w:t>
      </w:r>
      <w:r>
        <w:rPr>
          <w:spacing w:val="2"/>
          <w:sz w:val="22"/>
          <w:szCs w:val="22"/>
        </w:rPr>
        <w:t> </w:t>
      </w:r>
      <w:r>
        <w:rPr>
          <w:w w:val="61"/>
          <w:sz w:val="22"/>
          <w:szCs w:val="22"/>
        </w:rPr>
        <w:t>يٍ</w:t>
      </w:r>
      <w:r>
        <w:rPr>
          <w:spacing w:val="-1"/>
          <w:sz w:val="22"/>
          <w:szCs w:val="22"/>
        </w:rPr>
        <w:t> </w:t>
      </w:r>
      <w:r>
        <w:rPr>
          <w:sz w:val="22"/>
          <w:szCs w:val="22"/>
        </w:rPr>
        <w:t>ا</w:t>
      </w:r>
      <w:r>
        <w:rPr>
          <w:spacing w:val="-2"/>
          <w:w w:val="39"/>
          <w:sz w:val="22"/>
          <w:szCs w:val="22"/>
        </w:rPr>
        <w:t>ن</w:t>
      </w:r>
      <w:r>
        <w:rPr>
          <w:spacing w:val="-3"/>
          <w:w w:val="68"/>
          <w:sz w:val="22"/>
          <w:szCs w:val="22"/>
        </w:rPr>
        <w:t>خ</w:t>
      </w:r>
      <w:r>
        <w:rPr>
          <w:w w:val="68"/>
          <w:sz w:val="22"/>
          <w:szCs w:val="22"/>
        </w:rPr>
        <w:t>ح</w:t>
      </w:r>
      <w:r>
        <w:rPr>
          <w:spacing w:val="1"/>
          <w:w w:val="32"/>
          <w:sz w:val="22"/>
          <w:szCs w:val="22"/>
        </w:rPr>
        <w:t>ب</w:t>
      </w:r>
      <w:r>
        <w:rPr>
          <w:spacing w:val="-2"/>
          <w:w w:val="39"/>
          <w:sz w:val="22"/>
          <w:szCs w:val="22"/>
        </w:rPr>
        <w:t>ن</w:t>
      </w:r>
      <w:r>
        <w:rPr>
          <w:spacing w:val="-2"/>
          <w:sz w:val="22"/>
          <w:szCs w:val="22"/>
        </w:rPr>
        <w:t>ُ</w:t>
      </w:r>
      <w:r>
        <w:rPr>
          <w:w w:val="149"/>
          <w:sz w:val="22"/>
          <w:szCs w:val="22"/>
        </w:rPr>
        <w:t>م</w:t>
      </w:r>
      <w:r>
        <w:rPr>
          <w:spacing w:val="-1"/>
          <w:sz w:val="22"/>
          <w:szCs w:val="22"/>
        </w:rPr>
        <w:t> </w:t>
      </w:r>
      <w:r>
        <w:rPr>
          <w:w w:val="39"/>
          <w:sz w:val="22"/>
          <w:szCs w:val="22"/>
        </w:rPr>
        <w:t>ن</w:t>
      </w:r>
      <w:r>
        <w:rPr>
          <w:spacing w:val="-3"/>
          <w:w w:val="68"/>
          <w:sz w:val="22"/>
          <w:szCs w:val="22"/>
        </w:rPr>
        <w:t>خ</w:t>
      </w:r>
      <w:r>
        <w:rPr>
          <w:w w:val="68"/>
          <w:sz w:val="22"/>
          <w:szCs w:val="22"/>
        </w:rPr>
        <w:t>ح</w:t>
      </w:r>
      <w:r>
        <w:rPr>
          <w:spacing w:val="1"/>
          <w:sz w:val="22"/>
          <w:szCs w:val="22"/>
        </w:rPr>
        <w:t>ذ</w:t>
      </w:r>
      <w:r>
        <w:rPr>
          <w:spacing w:val="-2"/>
          <w:sz w:val="22"/>
          <w:szCs w:val="22"/>
        </w:rPr>
        <w:t>َ</w:t>
      </w:r>
      <w:r>
        <w:rPr>
          <w:spacing w:val="1"/>
          <w:sz w:val="22"/>
          <w:szCs w:val="22"/>
        </w:rPr>
        <w:t>ذ</w:t>
      </w:r>
      <w:r>
        <w:rPr>
          <w:spacing w:val="-1"/>
          <w:sz w:val="22"/>
          <w:szCs w:val="22"/>
        </w:rPr>
        <w:t> </w:t>
      </w:r>
      <w:r>
        <w:rPr>
          <w:sz w:val="22"/>
          <w:szCs w:val="22"/>
        </w:rPr>
        <w:t>ا</w:t>
      </w:r>
      <w:r>
        <w:rPr>
          <w:spacing w:val="-2"/>
          <w:w w:val="39"/>
          <w:sz w:val="22"/>
          <w:szCs w:val="22"/>
        </w:rPr>
        <w:t>ن</w:t>
      </w:r>
      <w:r>
        <w:rPr>
          <w:spacing w:val="-2"/>
          <w:sz w:val="22"/>
          <w:szCs w:val="22"/>
        </w:rPr>
        <w:t>ُ</w:t>
      </w:r>
      <w:r>
        <w:rPr>
          <w:spacing w:val="1"/>
          <w:w w:val="66"/>
          <w:sz w:val="22"/>
          <w:szCs w:val="22"/>
        </w:rPr>
        <w:t>ى</w:t>
      </w:r>
      <w:r>
        <w:rPr>
          <w:w w:val="66"/>
          <w:sz w:val="22"/>
          <w:szCs w:val="22"/>
        </w:rPr>
        <w:t>ػ</w:t>
      </w:r>
      <w:r>
        <w:rPr>
          <w:spacing w:val="-2"/>
          <w:sz w:val="22"/>
          <w:szCs w:val="22"/>
        </w:rPr>
        <w:t>ُ</w:t>
      </w:r>
      <w:r>
        <w:rPr>
          <w:spacing w:val="1"/>
          <w:w w:val="52"/>
          <w:sz w:val="22"/>
          <w:szCs w:val="22"/>
        </w:rPr>
        <w:t>ت</w:t>
      </w:r>
      <w:r>
        <w:rPr>
          <w:spacing w:val="-1"/>
          <w:sz w:val="22"/>
          <w:szCs w:val="22"/>
        </w:rPr>
        <w:t> </w:t>
      </w:r>
      <w:r>
        <w:rPr>
          <w:sz w:val="22"/>
          <w:szCs w:val="22"/>
        </w:rPr>
        <w:t>ا</w:t>
      </w:r>
      <w:r>
        <w:rPr>
          <w:spacing w:val="-2"/>
          <w:w w:val="39"/>
          <w:sz w:val="22"/>
          <w:szCs w:val="22"/>
        </w:rPr>
        <w:t>ن</w:t>
      </w:r>
      <w:r>
        <w:rPr>
          <w:spacing w:val="-2"/>
          <w:w w:val="33"/>
          <w:sz w:val="22"/>
          <w:szCs w:val="22"/>
        </w:rPr>
        <w:t>ف</w:t>
      </w:r>
      <w:r>
        <w:rPr>
          <w:spacing w:val="-2"/>
          <w:w w:val="44"/>
          <w:sz w:val="22"/>
          <w:szCs w:val="22"/>
        </w:rPr>
        <w:t>ُ</w:t>
      </w:r>
      <w:r>
        <w:rPr>
          <w:w w:val="44"/>
          <w:sz w:val="22"/>
          <w:szCs w:val="22"/>
        </w:rPr>
        <w:t>ض</w:t>
      </w:r>
      <w:r>
        <w:rPr>
          <w:spacing w:val="-2"/>
          <w:sz w:val="22"/>
          <w:szCs w:val="22"/>
        </w:rPr>
        <w:t>َ</w:t>
      </w:r>
      <w:r>
        <w:rPr>
          <w:spacing w:val="1"/>
          <w:w w:val="32"/>
          <w:sz w:val="22"/>
          <w:szCs w:val="22"/>
        </w:rPr>
        <w:t>ب</w:t>
      </w:r>
      <w:r>
        <w:rPr>
          <w:spacing w:val="-2"/>
          <w:w w:val="38"/>
          <w:sz w:val="22"/>
          <w:szCs w:val="22"/>
        </w:rPr>
        <w:t>ئ</w:t>
      </w:r>
      <w:r>
        <w:rPr>
          <w:spacing w:val="-2"/>
          <w:sz w:val="22"/>
          <w:szCs w:val="22"/>
        </w:rPr>
        <w:t>ُ</w:t>
      </w:r>
      <w:r>
        <w:rPr>
          <w:spacing w:val="1"/>
          <w:w w:val="52"/>
          <w:sz w:val="22"/>
          <w:szCs w:val="22"/>
        </w:rPr>
        <w:t>ت</w:t>
      </w:r>
      <w:r>
        <w:rPr>
          <w:spacing w:val="1"/>
          <w:sz w:val="22"/>
          <w:szCs w:val="22"/>
        </w:rPr>
        <w:t> </w:t>
      </w:r>
      <w:r>
        <w:rPr>
          <w:sz w:val="22"/>
          <w:szCs w:val="22"/>
        </w:rPr>
        <w:t>و</w:t>
      </w:r>
      <w:r>
        <w:rPr>
          <w:spacing w:val="-1"/>
          <w:sz w:val="22"/>
          <w:szCs w:val="22"/>
        </w:rPr>
        <w:t> </w:t>
      </w:r>
      <w:r>
        <w:rPr>
          <w:sz w:val="22"/>
          <w:szCs w:val="22"/>
        </w:rPr>
        <w:t>ا</w:t>
      </w:r>
      <w:r>
        <w:rPr>
          <w:spacing w:val="-2"/>
          <w:w w:val="39"/>
          <w:sz w:val="22"/>
          <w:szCs w:val="22"/>
        </w:rPr>
        <w:t>ن</w:t>
      </w:r>
      <w:r>
        <w:rPr>
          <w:spacing w:val="1"/>
          <w:w w:val="65"/>
          <w:sz w:val="22"/>
          <w:szCs w:val="22"/>
        </w:rPr>
        <w:t>ك</w:t>
      </w:r>
      <w:r>
        <w:rPr>
          <w:spacing w:val="-2"/>
          <w:sz w:val="22"/>
          <w:szCs w:val="22"/>
        </w:rPr>
        <w:t>ُ</w:t>
      </w:r>
      <w:r>
        <w:rPr>
          <w:spacing w:val="1"/>
          <w:sz w:val="22"/>
          <w:szCs w:val="22"/>
        </w:rPr>
        <w:t>ً</w:t>
      </w:r>
      <w:r>
        <w:rPr>
          <w:spacing w:val="-2"/>
          <w:sz w:val="22"/>
          <w:szCs w:val="22"/>
        </w:rPr>
        <w:t>ُ</w:t>
      </w:r>
      <w:r>
        <w:rPr>
          <w:spacing w:val="1"/>
          <w:w w:val="32"/>
          <w:sz w:val="22"/>
          <w:szCs w:val="22"/>
        </w:rPr>
        <w:t>ب</w:t>
      </w:r>
      <w:r>
        <w:rPr>
          <w:spacing w:val="-2"/>
          <w:w w:val="38"/>
          <w:sz w:val="22"/>
          <w:szCs w:val="22"/>
        </w:rPr>
        <w:t>ئ</w:t>
      </w:r>
      <w:r>
        <w:rPr>
          <w:spacing w:val="-2"/>
          <w:sz w:val="22"/>
          <w:szCs w:val="22"/>
        </w:rPr>
        <w:t>ُ</w:t>
      </w:r>
      <w:r>
        <w:rPr>
          <w:spacing w:val="1"/>
          <w:w w:val="52"/>
          <w:sz w:val="22"/>
          <w:szCs w:val="22"/>
        </w:rPr>
        <w:t>ت</w:t>
      </w:r>
      <w:r>
        <w:rPr>
          <w:spacing w:val="1"/>
          <w:sz w:val="22"/>
          <w:szCs w:val="22"/>
        </w:rPr>
        <w:t> </w:t>
      </w:r>
      <w:r>
        <w:rPr>
          <w:sz w:val="22"/>
          <w:szCs w:val="22"/>
        </w:rPr>
        <w:t>و</w:t>
      </w:r>
      <w:r>
        <w:rPr>
          <w:spacing w:val="-1"/>
          <w:sz w:val="22"/>
          <w:szCs w:val="22"/>
        </w:rPr>
        <w:t> </w:t>
      </w:r>
      <w:r>
        <w:rPr>
          <w:sz w:val="22"/>
          <w:szCs w:val="22"/>
        </w:rPr>
        <w:t>ا</w:t>
      </w:r>
      <w:r>
        <w:rPr>
          <w:spacing w:val="-2"/>
          <w:w w:val="39"/>
          <w:sz w:val="22"/>
          <w:szCs w:val="22"/>
        </w:rPr>
        <w:t>ن</w:t>
      </w:r>
      <w:r>
        <w:rPr>
          <w:spacing w:val="-2"/>
          <w:w w:val="34"/>
          <w:sz w:val="22"/>
          <w:szCs w:val="22"/>
        </w:rPr>
        <w:t>ب</w:t>
      </w:r>
      <w:r>
        <w:rPr>
          <w:spacing w:val="1"/>
          <w:w w:val="65"/>
          <w:sz w:val="22"/>
          <w:szCs w:val="22"/>
        </w:rPr>
        <w:t>ك</w:t>
      </w:r>
      <w:r>
        <w:rPr>
          <w:spacing w:val="-2"/>
          <w:w w:val="43"/>
          <w:sz w:val="22"/>
          <w:szCs w:val="22"/>
        </w:rPr>
        <w:t>خ</w:t>
      </w:r>
      <w:r>
        <w:rPr>
          <w:spacing w:val="-2"/>
          <w:w w:val="59"/>
          <w:sz w:val="22"/>
          <w:szCs w:val="22"/>
        </w:rPr>
        <w:t>ُ</w:t>
      </w:r>
      <w:r>
        <w:rPr>
          <w:w w:val="59"/>
          <w:sz w:val="22"/>
          <w:szCs w:val="22"/>
        </w:rPr>
        <w:t>ش</w:t>
      </w:r>
      <w:r>
        <w:rPr>
          <w:spacing w:val="-2"/>
          <w:sz w:val="22"/>
          <w:szCs w:val="22"/>
        </w:rPr>
        <w:t>َ</w:t>
      </w:r>
      <w:r>
        <w:rPr>
          <w:w w:val="67"/>
          <w:sz w:val="22"/>
          <w:szCs w:val="22"/>
        </w:rPr>
        <w:t>ى</w:t>
      </w:r>
      <w:r>
        <w:rPr>
          <w:spacing w:val="-2"/>
          <w:w w:val="67"/>
          <w:sz w:val="22"/>
          <w:szCs w:val="22"/>
        </w:rPr>
        <w:t>ن</w:t>
      </w:r>
      <w:r>
        <w:rPr>
          <w:w w:val="67"/>
          <w:sz w:val="22"/>
          <w:szCs w:val="22"/>
        </w:rPr>
        <w:t>ىج</w:t>
      </w:r>
      <w:r>
        <w:rPr>
          <w:spacing w:val="-2"/>
          <w:sz w:val="22"/>
          <w:szCs w:val="22"/>
        </w:rPr>
        <w:t>ُ</w:t>
      </w:r>
      <w:r>
        <w:rPr>
          <w:spacing w:val="1"/>
          <w:w w:val="52"/>
          <w:sz w:val="22"/>
          <w:szCs w:val="22"/>
        </w:rPr>
        <w:t>ت</w:t>
      </w:r>
      <w:r>
        <w:rPr>
          <w:spacing w:val="-1"/>
          <w:sz w:val="22"/>
          <w:szCs w:val="22"/>
        </w:rPr>
        <w:t> </w:t>
      </w:r>
      <w:r>
        <w:rPr>
          <w:w w:val="39"/>
          <w:sz w:val="22"/>
          <w:szCs w:val="22"/>
        </w:rPr>
        <w:t>ن</w:t>
      </w:r>
      <w:r>
        <w:rPr>
          <w:spacing w:val="1"/>
          <w:sz w:val="22"/>
          <w:szCs w:val="22"/>
        </w:rPr>
        <w:t>ً</w:t>
      </w:r>
      <w:r>
        <w:rPr>
          <w:spacing w:val="-2"/>
          <w:sz w:val="22"/>
          <w:szCs w:val="22"/>
        </w:rPr>
        <w:t>ُ</w:t>
      </w:r>
      <w:r>
        <w:rPr>
          <w:spacing w:val="1"/>
          <w:w w:val="32"/>
          <w:sz w:val="22"/>
          <w:szCs w:val="22"/>
        </w:rPr>
        <w:t>ب</w:t>
      </w:r>
      <w:r>
        <w:rPr>
          <w:spacing w:val="1"/>
          <w:sz w:val="22"/>
          <w:szCs w:val="22"/>
        </w:rPr>
        <w:t>ِ</w:t>
      </w:r>
      <w:r>
        <w:rPr>
          <w:spacing w:val="-1"/>
          <w:sz w:val="22"/>
          <w:szCs w:val="22"/>
        </w:rPr>
        <w:t> </w:t>
      </w:r>
      <w:r>
        <w:rPr>
          <w:w w:val="34"/>
          <w:sz w:val="22"/>
          <w:szCs w:val="22"/>
        </w:rPr>
        <w:t>ب</w:t>
      </w:r>
      <w:r>
        <w:rPr>
          <w:spacing w:val="1"/>
          <w:w w:val="48"/>
          <w:sz w:val="22"/>
          <w:szCs w:val="22"/>
        </w:rPr>
        <w:t>ؼ</w:t>
      </w:r>
      <w:r>
        <w:rPr>
          <w:spacing w:val="-2"/>
          <w:w w:val="188"/>
          <w:sz w:val="22"/>
          <w:szCs w:val="22"/>
        </w:rPr>
        <w:t>ط</w:t>
      </w:r>
      <w:r>
        <w:rPr>
          <w:spacing w:val="-1"/>
          <w:sz w:val="22"/>
          <w:szCs w:val="22"/>
        </w:rPr>
        <w:t> </w:t>
      </w:r>
      <w:r>
        <w:rPr>
          <w:sz w:val="22"/>
          <w:szCs w:val="22"/>
        </w:rPr>
        <w:t>ا</w:t>
      </w:r>
      <w:r>
        <w:rPr>
          <w:spacing w:val="-2"/>
          <w:w w:val="39"/>
          <w:sz w:val="22"/>
          <w:szCs w:val="22"/>
        </w:rPr>
        <w:t>ن</w:t>
      </w:r>
      <w:r>
        <w:rPr>
          <w:spacing w:val="1"/>
          <w:sz w:val="22"/>
          <w:szCs w:val="22"/>
        </w:rPr>
        <w:t>ً</w:t>
      </w:r>
      <w:r>
        <w:rPr>
          <w:spacing w:val="-2"/>
          <w:sz w:val="22"/>
          <w:szCs w:val="22"/>
        </w:rPr>
        <w:t>ُ</w:t>
      </w:r>
      <w:r>
        <w:rPr>
          <w:spacing w:val="1"/>
          <w:w w:val="32"/>
          <w:sz w:val="22"/>
          <w:szCs w:val="22"/>
        </w:rPr>
        <w:t>ب</w:t>
      </w:r>
      <w:r>
        <w:rPr>
          <w:spacing w:val="-2"/>
          <w:w w:val="34"/>
          <w:sz w:val="22"/>
          <w:szCs w:val="22"/>
        </w:rPr>
        <w:t>ب</w:t>
      </w:r>
      <w:r>
        <w:rPr>
          <w:w w:val="82"/>
          <w:sz w:val="22"/>
          <w:szCs w:val="22"/>
        </w:rPr>
        <w:t>غ</w:t>
      </w:r>
      <w:r>
        <w:rPr>
          <w:spacing w:val="1"/>
          <w:sz w:val="22"/>
          <w:szCs w:val="22"/>
        </w:rPr>
        <w:t> </w:t>
      </w:r>
      <w:r>
        <w:rPr>
          <w:w w:val="33"/>
          <w:sz w:val="22"/>
          <w:szCs w:val="22"/>
        </w:rPr>
        <w:t>ف</w:t>
      </w:r>
      <w:r>
        <w:rPr>
          <w:spacing w:val="-2"/>
          <w:sz w:val="22"/>
          <w:szCs w:val="22"/>
        </w:rPr>
        <w:t>ٍ</w:t>
      </w:r>
    </w:p>
    <w:p>
      <w:pPr>
        <w:bidi/>
        <w:spacing w:before="39"/>
        <w:ind w:left="1800" w:right="0" w:firstLine="0"/>
        <w:jc w:val="left"/>
        <w:rPr>
          <w:sz w:val="22"/>
          <w:szCs w:val="22"/>
        </w:rPr>
      </w:pPr>
      <w:r>
        <w:rPr>
          <w:w w:val="61"/>
          <w:sz w:val="22"/>
          <w:szCs w:val="22"/>
        </w:rPr>
        <w:t>ي</w:t>
      </w:r>
      <w:r>
        <w:rPr>
          <w:spacing w:val="-2"/>
          <w:sz w:val="22"/>
          <w:szCs w:val="22"/>
        </w:rPr>
        <w:t>ُ</w:t>
      </w:r>
      <w:r>
        <w:rPr>
          <w:sz w:val="22"/>
          <w:szCs w:val="22"/>
        </w:rPr>
        <w:t>ط</w:t>
      </w:r>
      <w:r>
        <w:rPr>
          <w:spacing w:val="-2"/>
          <w:w w:val="45"/>
          <w:sz w:val="22"/>
          <w:szCs w:val="22"/>
        </w:rPr>
        <w:t>ق</w:t>
      </w:r>
      <w:r>
        <w:rPr>
          <w:spacing w:val="1"/>
          <w:w w:val="52"/>
          <w:sz w:val="22"/>
          <w:szCs w:val="22"/>
        </w:rPr>
        <w:t>ت</w:t>
      </w:r>
      <w:r>
        <w:rPr>
          <w:spacing w:val="1"/>
          <w:sz w:val="22"/>
          <w:szCs w:val="22"/>
        </w:rPr>
        <w:t> </w:t>
      </w:r>
      <w:r>
        <w:rPr>
          <w:w w:val="46"/>
          <w:sz w:val="22"/>
          <w:szCs w:val="22"/>
        </w:rPr>
        <w:t>ق</w:t>
      </w:r>
      <w:r>
        <w:rPr>
          <w:spacing w:val="1"/>
          <w:w w:val="32"/>
          <w:sz w:val="22"/>
          <w:szCs w:val="22"/>
        </w:rPr>
        <w:t>ب</w:t>
      </w:r>
      <w:r>
        <w:rPr>
          <w:spacing w:val="-2"/>
          <w:w w:val="39"/>
          <w:sz w:val="22"/>
          <w:szCs w:val="22"/>
        </w:rPr>
        <w:t>ن</w:t>
      </w:r>
      <w:r>
        <w:rPr>
          <w:spacing w:val="1"/>
          <w:sz w:val="22"/>
          <w:szCs w:val="22"/>
        </w:rPr>
        <w:t>ً</w:t>
      </w:r>
      <w:r>
        <w:rPr>
          <w:spacing w:val="1"/>
          <w:w w:val="52"/>
          <w:sz w:val="22"/>
          <w:szCs w:val="22"/>
        </w:rPr>
        <w:t>ت</w:t>
      </w:r>
      <w:r>
        <w:rPr>
          <w:spacing w:val="1"/>
          <w:sz w:val="22"/>
          <w:szCs w:val="22"/>
        </w:rPr>
        <w:t>.</w:t>
      </w:r>
    </w:p>
    <w:p>
      <w:pPr>
        <w:pStyle w:val="BodyText"/>
        <w:spacing w:before="6"/>
        <w:rPr>
          <w:sz w:val="12"/>
        </w:rPr>
      </w:pPr>
    </w:p>
    <w:p>
      <w:pPr>
        <w:bidi/>
        <w:spacing w:before="91"/>
        <w:ind w:left="0" w:right="1318" w:firstLine="0"/>
        <w:jc w:val="right"/>
        <w:rPr>
          <w:sz w:val="22"/>
          <w:szCs w:val="22"/>
        </w:rPr>
      </w:pPr>
      <w:r>
        <w:rPr>
          <w:sz w:val="22"/>
          <w:szCs w:val="22"/>
        </w:rPr>
        <w:t>ا</w:t>
      </w:r>
      <w:r>
        <w:rPr>
          <w:spacing w:val="-2"/>
          <w:w w:val="39"/>
          <w:sz w:val="22"/>
          <w:szCs w:val="22"/>
        </w:rPr>
        <w:t>ن</w:t>
      </w:r>
      <w:r>
        <w:rPr>
          <w:spacing w:val="-3"/>
          <w:w w:val="68"/>
          <w:sz w:val="22"/>
          <w:szCs w:val="22"/>
        </w:rPr>
        <w:t>خ</w:t>
      </w:r>
      <w:r>
        <w:rPr>
          <w:w w:val="68"/>
          <w:sz w:val="22"/>
          <w:szCs w:val="22"/>
        </w:rPr>
        <w:t>ح</w:t>
      </w:r>
      <w:r>
        <w:rPr>
          <w:spacing w:val="1"/>
          <w:w w:val="32"/>
          <w:sz w:val="22"/>
          <w:szCs w:val="22"/>
        </w:rPr>
        <w:t>ب</w:t>
      </w:r>
      <w:r>
        <w:rPr>
          <w:spacing w:val="-2"/>
          <w:w w:val="39"/>
          <w:sz w:val="22"/>
          <w:szCs w:val="22"/>
        </w:rPr>
        <w:t>ن</w:t>
      </w:r>
      <w:r>
        <w:rPr>
          <w:spacing w:val="-2"/>
          <w:sz w:val="22"/>
          <w:szCs w:val="22"/>
        </w:rPr>
        <w:t>ُ</w:t>
      </w:r>
      <w:r>
        <w:rPr>
          <w:w w:val="149"/>
          <w:sz w:val="22"/>
          <w:szCs w:val="22"/>
        </w:rPr>
        <w:t>م</w:t>
      </w:r>
      <w:r>
        <w:rPr>
          <w:spacing w:val="-1"/>
          <w:sz w:val="22"/>
          <w:szCs w:val="22"/>
        </w:rPr>
        <w:t> </w:t>
      </w:r>
      <w:r>
        <w:rPr>
          <w:sz w:val="22"/>
          <w:szCs w:val="22"/>
        </w:rPr>
        <w:t>ا</w:t>
      </w:r>
      <w:r>
        <w:rPr>
          <w:spacing w:val="-2"/>
          <w:w w:val="39"/>
          <w:sz w:val="22"/>
          <w:szCs w:val="22"/>
        </w:rPr>
        <w:t>ن</w:t>
      </w:r>
      <w:r>
        <w:rPr>
          <w:spacing w:val="-2"/>
          <w:w w:val="33"/>
          <w:sz w:val="22"/>
          <w:szCs w:val="22"/>
        </w:rPr>
        <w:t>ف</w:t>
      </w:r>
      <w:r>
        <w:rPr>
          <w:spacing w:val="-2"/>
          <w:w w:val="44"/>
          <w:sz w:val="22"/>
          <w:szCs w:val="22"/>
        </w:rPr>
        <w:t>ُ</w:t>
      </w:r>
      <w:r>
        <w:rPr>
          <w:w w:val="44"/>
          <w:sz w:val="22"/>
          <w:szCs w:val="22"/>
        </w:rPr>
        <w:t>ض</w:t>
      </w:r>
      <w:r>
        <w:rPr>
          <w:spacing w:val="-2"/>
          <w:sz w:val="22"/>
          <w:szCs w:val="22"/>
        </w:rPr>
        <w:t>َ</w:t>
      </w:r>
      <w:r>
        <w:rPr>
          <w:spacing w:val="1"/>
          <w:w w:val="32"/>
          <w:sz w:val="22"/>
          <w:szCs w:val="22"/>
        </w:rPr>
        <w:t>ب</w:t>
      </w:r>
      <w:r>
        <w:rPr>
          <w:spacing w:val="-2"/>
          <w:w w:val="38"/>
          <w:sz w:val="22"/>
          <w:szCs w:val="22"/>
        </w:rPr>
        <w:t>ئ</w:t>
      </w:r>
      <w:r>
        <w:rPr>
          <w:spacing w:val="-2"/>
          <w:sz w:val="22"/>
          <w:szCs w:val="22"/>
        </w:rPr>
        <w:t>ُ</w:t>
      </w:r>
      <w:r>
        <w:rPr>
          <w:spacing w:val="1"/>
          <w:w w:val="52"/>
          <w:sz w:val="22"/>
          <w:szCs w:val="22"/>
        </w:rPr>
        <w:t>ت</w:t>
      </w:r>
      <w:r>
        <w:rPr>
          <w:spacing w:val="1"/>
          <w:sz w:val="22"/>
          <w:szCs w:val="22"/>
        </w:rPr>
        <w:t> </w:t>
      </w:r>
      <w:r>
        <w:rPr>
          <w:sz w:val="22"/>
          <w:szCs w:val="22"/>
        </w:rPr>
        <w:t>و</w:t>
      </w:r>
      <w:r>
        <w:rPr>
          <w:spacing w:val="-1"/>
          <w:sz w:val="22"/>
          <w:szCs w:val="22"/>
        </w:rPr>
        <w:t> </w:t>
      </w:r>
      <w:r>
        <w:rPr>
          <w:sz w:val="22"/>
          <w:szCs w:val="22"/>
        </w:rPr>
        <w:t>ا</w:t>
      </w:r>
      <w:r>
        <w:rPr>
          <w:spacing w:val="-2"/>
          <w:w w:val="39"/>
          <w:sz w:val="22"/>
          <w:szCs w:val="22"/>
        </w:rPr>
        <w:t>ن</w:t>
      </w:r>
      <w:r>
        <w:rPr>
          <w:spacing w:val="1"/>
          <w:w w:val="65"/>
          <w:sz w:val="22"/>
          <w:szCs w:val="22"/>
        </w:rPr>
        <w:t>ك</w:t>
      </w:r>
      <w:r>
        <w:rPr>
          <w:spacing w:val="-2"/>
          <w:sz w:val="22"/>
          <w:szCs w:val="22"/>
        </w:rPr>
        <w:t>ُ</w:t>
      </w:r>
      <w:r>
        <w:rPr>
          <w:spacing w:val="1"/>
          <w:sz w:val="22"/>
          <w:szCs w:val="22"/>
        </w:rPr>
        <w:t>ً</w:t>
      </w:r>
      <w:r>
        <w:rPr>
          <w:spacing w:val="-2"/>
          <w:sz w:val="22"/>
          <w:szCs w:val="22"/>
        </w:rPr>
        <w:t>ُ</w:t>
      </w:r>
      <w:r>
        <w:rPr>
          <w:spacing w:val="1"/>
          <w:w w:val="32"/>
          <w:sz w:val="22"/>
          <w:szCs w:val="22"/>
        </w:rPr>
        <w:t>ب</w:t>
      </w:r>
      <w:r>
        <w:rPr>
          <w:spacing w:val="-2"/>
          <w:w w:val="38"/>
          <w:sz w:val="22"/>
          <w:szCs w:val="22"/>
        </w:rPr>
        <w:t>ئ</w:t>
      </w:r>
      <w:r>
        <w:rPr>
          <w:spacing w:val="-2"/>
          <w:sz w:val="22"/>
          <w:szCs w:val="22"/>
        </w:rPr>
        <w:t>ُ</w:t>
      </w:r>
      <w:r>
        <w:rPr>
          <w:spacing w:val="1"/>
          <w:w w:val="52"/>
          <w:sz w:val="22"/>
          <w:szCs w:val="22"/>
        </w:rPr>
        <w:t>ت</w:t>
      </w:r>
      <w:r>
        <w:rPr>
          <w:spacing w:val="-1"/>
          <w:sz w:val="22"/>
          <w:szCs w:val="22"/>
        </w:rPr>
        <w:t> </w:t>
      </w:r>
      <w:r>
        <w:rPr>
          <w:sz w:val="22"/>
          <w:szCs w:val="22"/>
        </w:rPr>
        <w:t>(</w:t>
      </w:r>
      <w:r>
        <w:rPr>
          <w:spacing w:val="3"/>
          <w:w w:val="78"/>
          <w:sz w:val="22"/>
          <w:szCs w:val="22"/>
        </w:rPr>
        <w:t>د</w:t>
      </w:r>
      <w:r>
        <w:rPr>
          <w:w w:val="78"/>
          <w:sz w:val="22"/>
          <w:szCs w:val="22"/>
        </w:rPr>
        <w:t>سج</w:t>
      </w:r>
      <w:r>
        <w:rPr>
          <w:spacing w:val="1"/>
          <w:w w:val="52"/>
          <w:sz w:val="22"/>
          <w:szCs w:val="22"/>
        </w:rPr>
        <w:t>ت</w:t>
      </w:r>
      <w:r>
        <w:rPr>
          <w:spacing w:val="-1"/>
          <w:sz w:val="22"/>
          <w:szCs w:val="22"/>
        </w:rPr>
        <w:t> </w:t>
      </w:r>
      <w:r>
        <w:rPr>
          <w:sz w:val="22"/>
          <w:szCs w:val="22"/>
        </w:rPr>
        <w:t>ا</w:t>
      </w:r>
      <w:r>
        <w:rPr>
          <w:spacing w:val="-3"/>
          <w:w w:val="67"/>
          <w:sz w:val="22"/>
          <w:szCs w:val="22"/>
        </w:rPr>
        <w:t>ن</w:t>
      </w:r>
      <w:r>
        <w:rPr>
          <w:w w:val="67"/>
          <w:sz w:val="22"/>
          <w:szCs w:val="22"/>
        </w:rPr>
        <w:t>ح</w:t>
      </w:r>
      <w:r>
        <w:rPr>
          <w:spacing w:val="1"/>
          <w:sz w:val="22"/>
          <w:szCs w:val="22"/>
        </w:rPr>
        <w:t>ً</w:t>
      </w:r>
      <w:r>
        <w:rPr>
          <w:w w:val="67"/>
          <w:sz w:val="22"/>
          <w:szCs w:val="22"/>
        </w:rPr>
        <w:t>ى</w:t>
      </w:r>
      <w:r>
        <w:rPr>
          <w:spacing w:val="1"/>
          <w:w w:val="145"/>
          <w:sz w:val="22"/>
          <w:szCs w:val="22"/>
        </w:rPr>
        <w:t>ظ</w:t>
      </w:r>
      <w:r>
        <w:rPr>
          <w:spacing w:val="1"/>
          <w:w w:val="52"/>
          <w:sz w:val="22"/>
          <w:szCs w:val="22"/>
        </w:rPr>
        <w:t>ت</w:t>
      </w:r>
      <w:r>
        <w:rPr>
          <w:spacing w:val="2"/>
          <w:sz w:val="22"/>
          <w:szCs w:val="22"/>
        </w:rPr>
        <w:t>,</w:t>
      </w:r>
      <w:r>
        <w:rPr>
          <w:spacing w:val="4"/>
          <w:sz w:val="22"/>
          <w:szCs w:val="22"/>
        </w:rPr>
        <w:t> </w:t>
      </w:r>
      <w:r>
        <w:rPr>
          <w:w w:val="61"/>
          <w:sz w:val="22"/>
          <w:szCs w:val="22"/>
        </w:rPr>
        <w:t>ي</w:t>
      </w:r>
      <w:r>
        <w:rPr>
          <w:spacing w:val="-1"/>
          <w:w w:val="64"/>
          <w:sz w:val="22"/>
          <w:szCs w:val="22"/>
        </w:rPr>
        <w:t>س</w:t>
      </w:r>
      <w:r>
        <w:rPr>
          <w:spacing w:val="-2"/>
          <w:w w:val="71"/>
          <w:sz w:val="22"/>
          <w:szCs w:val="22"/>
        </w:rPr>
        <w:t>خ</w:t>
      </w:r>
      <w:r>
        <w:rPr>
          <w:spacing w:val="-1"/>
          <w:w w:val="71"/>
          <w:sz w:val="22"/>
          <w:szCs w:val="22"/>
        </w:rPr>
        <w:t>ىي</w:t>
      </w:r>
      <w:r>
        <w:rPr>
          <w:spacing w:val="-1"/>
          <w:sz w:val="22"/>
          <w:szCs w:val="22"/>
        </w:rPr>
        <w:t> </w:t>
      </w:r>
      <w:r>
        <w:rPr>
          <w:sz w:val="22"/>
          <w:szCs w:val="22"/>
        </w:rPr>
        <w:t>ا</w:t>
      </w:r>
      <w:r>
        <w:rPr>
          <w:spacing w:val="-2"/>
          <w:w w:val="39"/>
          <w:sz w:val="22"/>
          <w:szCs w:val="22"/>
        </w:rPr>
        <w:t>ن</w:t>
      </w:r>
      <w:r>
        <w:rPr>
          <w:spacing w:val="1"/>
          <w:w w:val="65"/>
          <w:sz w:val="22"/>
          <w:szCs w:val="22"/>
        </w:rPr>
        <w:t>ك</w:t>
      </w:r>
      <w:r>
        <w:rPr>
          <w:spacing w:val="-2"/>
          <w:w w:val="73"/>
          <w:sz w:val="22"/>
          <w:szCs w:val="22"/>
        </w:rPr>
        <w:t>ه</w:t>
      </w:r>
      <w:r>
        <w:rPr>
          <w:spacing w:val="1"/>
          <w:w w:val="63"/>
          <w:sz w:val="22"/>
          <w:szCs w:val="22"/>
        </w:rPr>
        <w:t>ى</w:t>
      </w:r>
      <w:r>
        <w:rPr>
          <w:w w:val="63"/>
          <w:sz w:val="22"/>
          <w:szCs w:val="22"/>
        </w:rPr>
        <w:t>س</w:t>
      </w:r>
      <w:r>
        <w:rPr>
          <w:spacing w:val="-2"/>
          <w:sz w:val="22"/>
          <w:szCs w:val="22"/>
        </w:rPr>
        <w:t>َ</w:t>
      </w:r>
      <w:r>
        <w:rPr>
          <w:spacing w:val="1"/>
          <w:sz w:val="22"/>
          <w:szCs w:val="22"/>
        </w:rPr>
        <w:t>ذ </w:t>
      </w:r>
      <w:r>
        <w:rPr>
          <w:sz w:val="22"/>
          <w:szCs w:val="22"/>
        </w:rPr>
        <w:t>و</w:t>
      </w:r>
      <w:r>
        <w:rPr>
          <w:spacing w:val="-1"/>
          <w:sz w:val="22"/>
          <w:szCs w:val="22"/>
        </w:rPr>
        <w:t> </w:t>
      </w:r>
      <w:r>
        <w:rPr>
          <w:sz w:val="22"/>
          <w:szCs w:val="22"/>
        </w:rPr>
        <w:t>ا</w:t>
      </w:r>
      <w:r>
        <w:rPr>
          <w:spacing w:val="-2"/>
          <w:w w:val="39"/>
          <w:sz w:val="22"/>
          <w:szCs w:val="22"/>
        </w:rPr>
        <w:t>ن</w:t>
      </w:r>
      <w:r>
        <w:rPr>
          <w:spacing w:val="1"/>
          <w:w w:val="65"/>
          <w:sz w:val="22"/>
          <w:szCs w:val="22"/>
        </w:rPr>
        <w:t>ك</w:t>
      </w:r>
      <w:r>
        <w:rPr>
          <w:spacing w:val="-2"/>
          <w:sz w:val="22"/>
          <w:szCs w:val="22"/>
        </w:rPr>
        <w:t>ُ</w:t>
      </w:r>
      <w:r>
        <w:rPr>
          <w:spacing w:val="-2"/>
          <w:w w:val="47"/>
          <w:sz w:val="22"/>
          <w:szCs w:val="22"/>
        </w:rPr>
        <w:t>ب</w:t>
      </w:r>
      <w:r>
        <w:rPr>
          <w:w w:val="47"/>
          <w:sz w:val="22"/>
          <w:szCs w:val="22"/>
        </w:rPr>
        <w:t>ش</w:t>
      </w:r>
      <w:r>
        <w:rPr>
          <w:spacing w:val="-2"/>
          <w:sz w:val="22"/>
          <w:szCs w:val="22"/>
        </w:rPr>
        <w:t>َ</w:t>
      </w:r>
      <w:r>
        <w:rPr>
          <w:spacing w:val="-2"/>
          <w:w w:val="43"/>
          <w:sz w:val="22"/>
          <w:szCs w:val="22"/>
        </w:rPr>
        <w:t>خ</w:t>
      </w:r>
      <w:r>
        <w:rPr>
          <w:spacing w:val="1"/>
          <w:w w:val="32"/>
          <w:sz w:val="22"/>
          <w:szCs w:val="22"/>
        </w:rPr>
        <w:t>ب</w:t>
      </w:r>
      <w:r>
        <w:rPr>
          <w:spacing w:val="-1"/>
          <w:sz w:val="22"/>
          <w:szCs w:val="22"/>
        </w:rPr>
        <w:t>ث</w:t>
      </w:r>
      <w:r>
        <w:rPr>
          <w:spacing w:val="3"/>
          <w:sz w:val="22"/>
          <w:szCs w:val="22"/>
        </w:rPr>
        <w:t> </w:t>
      </w:r>
      <w:r>
        <w:rPr>
          <w:sz w:val="22"/>
          <w:szCs w:val="22"/>
        </w:rPr>
        <w:t>...</w:t>
      </w:r>
      <w:r>
        <w:rPr>
          <w:spacing w:val="-2"/>
          <w:sz w:val="22"/>
          <w:szCs w:val="22"/>
        </w:rPr>
        <w:t>ا</w:t>
      </w:r>
      <w:r>
        <w:rPr>
          <w:spacing w:val="-2"/>
          <w:w w:val="67"/>
          <w:sz w:val="22"/>
          <w:szCs w:val="22"/>
        </w:rPr>
        <w:t>ن</w:t>
      </w:r>
      <w:r>
        <w:rPr>
          <w:w w:val="67"/>
          <w:sz w:val="22"/>
          <w:szCs w:val="22"/>
        </w:rPr>
        <w:t>خ</w:t>
      </w:r>
      <w:r>
        <w:rPr>
          <w:spacing w:val="-2"/>
          <w:sz w:val="22"/>
          <w:szCs w:val="22"/>
        </w:rPr>
        <w:t>)</w:t>
      </w:r>
      <w:r>
        <w:rPr>
          <w:spacing w:val="3"/>
          <w:sz w:val="22"/>
          <w:szCs w:val="22"/>
        </w:rPr>
        <w:t> </w:t>
      </w:r>
      <w:r>
        <w:rPr>
          <w:sz w:val="22"/>
          <w:szCs w:val="22"/>
        </w:rPr>
        <w:t>و</w:t>
      </w:r>
      <w:r>
        <w:rPr>
          <w:spacing w:val="-1"/>
          <w:sz w:val="22"/>
          <w:szCs w:val="22"/>
        </w:rPr>
        <w:t> </w:t>
      </w:r>
      <w:r>
        <w:rPr>
          <w:sz w:val="22"/>
          <w:szCs w:val="22"/>
        </w:rPr>
        <w:t>ا</w:t>
      </w:r>
      <w:r>
        <w:rPr>
          <w:spacing w:val="-2"/>
          <w:w w:val="39"/>
          <w:sz w:val="22"/>
          <w:szCs w:val="22"/>
        </w:rPr>
        <w:t>ن</w:t>
      </w:r>
      <w:r>
        <w:rPr>
          <w:spacing w:val="-2"/>
          <w:w w:val="34"/>
          <w:sz w:val="22"/>
          <w:szCs w:val="22"/>
        </w:rPr>
        <w:t>ب</w:t>
      </w:r>
      <w:r>
        <w:rPr>
          <w:spacing w:val="1"/>
          <w:w w:val="65"/>
          <w:sz w:val="22"/>
          <w:szCs w:val="22"/>
        </w:rPr>
        <w:t>ك</w:t>
      </w:r>
      <w:r>
        <w:rPr>
          <w:spacing w:val="-2"/>
          <w:w w:val="43"/>
          <w:sz w:val="22"/>
          <w:szCs w:val="22"/>
        </w:rPr>
        <w:t>خ</w:t>
      </w:r>
      <w:r>
        <w:rPr>
          <w:spacing w:val="-2"/>
          <w:w w:val="59"/>
          <w:sz w:val="22"/>
          <w:szCs w:val="22"/>
        </w:rPr>
        <w:t>ُ</w:t>
      </w:r>
      <w:r>
        <w:rPr>
          <w:w w:val="59"/>
          <w:sz w:val="22"/>
          <w:szCs w:val="22"/>
        </w:rPr>
        <w:t>ش</w:t>
      </w:r>
      <w:r>
        <w:rPr>
          <w:spacing w:val="-2"/>
          <w:sz w:val="22"/>
          <w:szCs w:val="22"/>
        </w:rPr>
        <w:t>َ</w:t>
      </w:r>
      <w:r>
        <w:rPr>
          <w:w w:val="67"/>
          <w:sz w:val="22"/>
          <w:szCs w:val="22"/>
        </w:rPr>
        <w:t>ى</w:t>
      </w:r>
      <w:r>
        <w:rPr>
          <w:spacing w:val="-2"/>
          <w:w w:val="67"/>
          <w:sz w:val="22"/>
          <w:szCs w:val="22"/>
        </w:rPr>
        <w:t>ن</w:t>
      </w:r>
      <w:r>
        <w:rPr>
          <w:w w:val="67"/>
          <w:sz w:val="22"/>
          <w:szCs w:val="22"/>
        </w:rPr>
        <w:t>ىج</w:t>
      </w:r>
      <w:r>
        <w:rPr>
          <w:spacing w:val="-2"/>
          <w:sz w:val="22"/>
          <w:szCs w:val="22"/>
        </w:rPr>
        <w:t>ُ</w:t>
      </w:r>
      <w:r>
        <w:rPr>
          <w:spacing w:val="1"/>
          <w:w w:val="52"/>
          <w:sz w:val="22"/>
          <w:szCs w:val="22"/>
        </w:rPr>
        <w:t>ت</w:t>
      </w:r>
      <w:r>
        <w:rPr>
          <w:spacing w:val="-1"/>
          <w:sz w:val="22"/>
          <w:szCs w:val="22"/>
        </w:rPr>
        <w:t> </w:t>
      </w:r>
      <w:r>
        <w:rPr>
          <w:sz w:val="22"/>
          <w:szCs w:val="22"/>
        </w:rPr>
        <w:t>(</w:t>
      </w:r>
      <w:r>
        <w:rPr>
          <w:spacing w:val="2"/>
          <w:w w:val="96"/>
          <w:sz w:val="22"/>
          <w:szCs w:val="22"/>
        </w:rPr>
        <w:t>و</w:t>
      </w:r>
      <w:r>
        <w:rPr>
          <w:w w:val="96"/>
          <w:sz w:val="22"/>
          <w:szCs w:val="22"/>
        </w:rPr>
        <w:t>ج</w:t>
      </w:r>
      <w:r>
        <w:rPr>
          <w:w w:val="67"/>
          <w:sz w:val="22"/>
          <w:szCs w:val="22"/>
        </w:rPr>
        <w:t>ى</w:t>
      </w:r>
      <w:r>
        <w:rPr>
          <w:spacing w:val="1"/>
          <w:sz w:val="22"/>
          <w:szCs w:val="22"/>
        </w:rPr>
        <w:t>د</w:t>
      </w:r>
      <w:r>
        <w:rPr>
          <w:spacing w:val="-1"/>
          <w:sz w:val="22"/>
          <w:szCs w:val="22"/>
        </w:rPr>
        <w:t> </w:t>
      </w:r>
      <w:r>
        <w:rPr>
          <w:w w:val="34"/>
          <w:sz w:val="22"/>
          <w:szCs w:val="22"/>
        </w:rPr>
        <w:t>ب</w:t>
      </w:r>
      <w:r>
        <w:rPr>
          <w:spacing w:val="1"/>
          <w:w w:val="65"/>
          <w:sz w:val="22"/>
          <w:szCs w:val="22"/>
        </w:rPr>
        <w:t>ك</w:t>
      </w:r>
      <w:r>
        <w:rPr>
          <w:spacing w:val="-2"/>
          <w:w w:val="43"/>
          <w:sz w:val="22"/>
          <w:szCs w:val="22"/>
        </w:rPr>
        <w:t>خ</w:t>
      </w:r>
      <w:r>
        <w:rPr>
          <w:spacing w:val="-2"/>
          <w:w w:val="59"/>
          <w:sz w:val="22"/>
          <w:szCs w:val="22"/>
        </w:rPr>
        <w:t>ُ</w:t>
      </w:r>
      <w:r>
        <w:rPr>
          <w:w w:val="59"/>
          <w:sz w:val="22"/>
          <w:szCs w:val="22"/>
        </w:rPr>
        <w:t>ش</w:t>
      </w:r>
      <w:r>
        <w:rPr>
          <w:spacing w:val="-2"/>
          <w:sz w:val="22"/>
          <w:szCs w:val="22"/>
        </w:rPr>
        <w:t>َ</w:t>
      </w:r>
      <w:r>
        <w:rPr>
          <w:spacing w:val="1"/>
          <w:w w:val="32"/>
          <w:sz w:val="22"/>
          <w:szCs w:val="22"/>
        </w:rPr>
        <w:t>ب</w:t>
      </w:r>
    </w:p>
    <w:p>
      <w:pPr>
        <w:spacing w:after="0"/>
        <w:jc w:val="right"/>
        <w:rPr>
          <w:sz w:val="22"/>
          <w:szCs w:val="22"/>
        </w:rPr>
        <w:sectPr>
          <w:headerReference w:type="default" r:id="rId179"/>
          <w:footerReference w:type="default" r:id="rId180"/>
          <w:pgSz w:w="11900" w:h="16840"/>
          <w:pgMar w:header="0" w:footer="0" w:top="1600" w:bottom="280" w:left="740" w:right="0"/>
        </w:sectPr>
      </w:pPr>
    </w:p>
    <w:p>
      <w:pPr>
        <w:bidi/>
        <w:spacing w:before="39"/>
        <w:ind w:left="0" w:right="1522" w:firstLine="0"/>
        <w:jc w:val="right"/>
        <w:rPr>
          <w:sz w:val="22"/>
          <w:szCs w:val="22"/>
        </w:rPr>
      </w:pPr>
      <w:r>
        <w:rPr>
          <w:w w:val="70"/>
          <w:sz w:val="22"/>
          <w:szCs w:val="22"/>
        </w:rPr>
        <w:t>ػهً يسخى</w:t>
      </w:r>
      <w:r>
        <w:rPr>
          <w:w w:val="70"/>
          <w:sz w:val="22"/>
          <w:szCs w:val="22"/>
        </w:rPr>
        <w:t>ي</w:t>
      </w:r>
    </w:p>
    <w:p>
      <w:pPr>
        <w:bidi/>
        <w:spacing w:before="39"/>
        <w:ind w:left="0" w:right="189" w:firstLine="0"/>
        <w:jc w:val="right"/>
        <w:rPr>
          <w:sz w:val="22"/>
          <w:szCs w:val="22"/>
        </w:rPr>
      </w:pPr>
      <w:r>
        <w:rPr/>
        <w:br w:type="column"/>
      </w:r>
      <w:r>
        <w:rPr>
          <w:sz w:val="22"/>
          <w:szCs w:val="22"/>
        </w:rPr>
        <w:t>ا</w:t>
      </w:r>
      <w:r>
        <w:rPr>
          <w:spacing w:val="-2"/>
          <w:w w:val="39"/>
          <w:sz w:val="22"/>
          <w:szCs w:val="22"/>
        </w:rPr>
        <w:t>ن</w:t>
      </w:r>
      <w:r>
        <w:rPr>
          <w:spacing w:val="-2"/>
          <w:w w:val="45"/>
          <w:sz w:val="22"/>
          <w:szCs w:val="22"/>
        </w:rPr>
        <w:t>ق</w:t>
      </w:r>
      <w:r>
        <w:rPr>
          <w:w w:val="67"/>
          <w:sz w:val="22"/>
          <w:szCs w:val="22"/>
        </w:rPr>
        <w:t>ى</w:t>
      </w:r>
      <w:r>
        <w:rPr>
          <w:spacing w:val="-2"/>
          <w:w w:val="39"/>
          <w:sz w:val="22"/>
          <w:szCs w:val="22"/>
        </w:rPr>
        <w:t>ن</w:t>
      </w:r>
      <w:r>
        <w:rPr>
          <w:spacing w:val="1"/>
          <w:w w:val="67"/>
          <w:sz w:val="22"/>
          <w:szCs w:val="22"/>
        </w:rPr>
        <w:t>ى</w:t>
      </w:r>
      <w:r>
        <w:rPr>
          <w:w w:val="67"/>
          <w:sz w:val="22"/>
          <w:szCs w:val="22"/>
        </w:rPr>
        <w:t>ٌ</w:t>
      </w:r>
      <w:r>
        <w:rPr>
          <w:spacing w:val="3"/>
          <w:sz w:val="22"/>
          <w:szCs w:val="22"/>
        </w:rPr>
        <w:t> </w:t>
      </w:r>
      <w:r>
        <w:rPr>
          <w:sz w:val="22"/>
          <w:szCs w:val="22"/>
        </w:rPr>
        <w:t>...</w:t>
      </w:r>
      <w:r>
        <w:rPr>
          <w:spacing w:val="-2"/>
          <w:sz w:val="22"/>
          <w:szCs w:val="22"/>
        </w:rPr>
        <w:t>ا</w:t>
      </w:r>
      <w:r>
        <w:rPr>
          <w:spacing w:val="-2"/>
          <w:w w:val="67"/>
          <w:sz w:val="22"/>
          <w:szCs w:val="22"/>
        </w:rPr>
        <w:t>ن</w:t>
      </w:r>
      <w:r>
        <w:rPr>
          <w:w w:val="67"/>
          <w:sz w:val="22"/>
          <w:szCs w:val="22"/>
        </w:rPr>
        <w:t>خ</w:t>
      </w:r>
      <w:r>
        <w:rPr>
          <w:spacing w:val="-2"/>
          <w:sz w:val="22"/>
          <w:szCs w:val="22"/>
        </w:rPr>
        <w:t>)</w:t>
      </w:r>
      <w:r>
        <w:rPr>
          <w:spacing w:val="-2"/>
          <w:sz w:val="22"/>
          <w:szCs w:val="22"/>
        </w:rPr>
        <w:t>أ</w:t>
      </w:r>
      <w:r>
        <w:rPr>
          <w:spacing w:val="5"/>
          <w:w w:val="73"/>
          <w:sz w:val="22"/>
          <w:szCs w:val="22"/>
        </w:rPr>
        <w:t>ج</w:t>
      </w:r>
      <w:r>
        <w:rPr>
          <w:w w:val="73"/>
          <w:sz w:val="22"/>
          <w:szCs w:val="22"/>
        </w:rPr>
        <w:t>ش</w:t>
      </w:r>
      <w:r>
        <w:rPr>
          <w:spacing w:val="-2"/>
          <w:sz w:val="22"/>
          <w:szCs w:val="22"/>
        </w:rPr>
        <w:t>َ</w:t>
      </w:r>
      <w:r>
        <w:rPr>
          <w:spacing w:val="-1"/>
          <w:w w:val="126"/>
          <w:sz w:val="22"/>
          <w:szCs w:val="22"/>
        </w:rPr>
        <w:t>ج</w:t>
      </w:r>
      <w:r>
        <w:rPr>
          <w:spacing w:val="1"/>
          <w:sz w:val="22"/>
          <w:szCs w:val="22"/>
        </w:rPr>
        <w:t> </w:t>
      </w:r>
      <w:r>
        <w:rPr>
          <w:w w:val="64"/>
          <w:sz w:val="22"/>
          <w:szCs w:val="22"/>
        </w:rPr>
        <w:t>ػ</w:t>
      </w:r>
      <w:r>
        <w:rPr>
          <w:spacing w:val="-2"/>
          <w:w w:val="73"/>
          <w:sz w:val="22"/>
          <w:szCs w:val="22"/>
        </w:rPr>
        <w:t>ه</w:t>
      </w:r>
      <w:r>
        <w:rPr>
          <w:spacing w:val="-2"/>
          <w:sz w:val="22"/>
          <w:szCs w:val="22"/>
        </w:rPr>
        <w:t>ً</w:t>
      </w:r>
      <w:r>
        <w:rPr>
          <w:spacing w:val="1"/>
          <w:sz w:val="22"/>
          <w:szCs w:val="22"/>
        </w:rPr>
        <w:t> </w:t>
      </w:r>
      <w:r>
        <w:rPr>
          <w:w w:val="64"/>
          <w:sz w:val="22"/>
          <w:szCs w:val="22"/>
        </w:rPr>
        <w:t>ػ</w:t>
      </w:r>
      <w:r>
        <w:rPr>
          <w:spacing w:val="-2"/>
          <w:sz w:val="22"/>
          <w:szCs w:val="22"/>
        </w:rPr>
        <w:t>ُُ</w:t>
      </w:r>
      <w:r>
        <w:rPr>
          <w:spacing w:val="1"/>
          <w:w w:val="32"/>
          <w:sz w:val="22"/>
          <w:szCs w:val="22"/>
        </w:rPr>
        <w:t>ب</w:t>
      </w:r>
      <w:r>
        <w:rPr>
          <w:spacing w:val="-1"/>
          <w:sz w:val="22"/>
          <w:szCs w:val="22"/>
        </w:rPr>
        <w:t>ث</w:t>
      </w:r>
      <w:r>
        <w:rPr>
          <w:spacing w:val="3"/>
          <w:sz w:val="22"/>
          <w:szCs w:val="22"/>
        </w:rPr>
        <w:t> </w:t>
      </w:r>
      <w:r>
        <w:rPr>
          <w:sz w:val="22"/>
          <w:szCs w:val="22"/>
        </w:rPr>
        <w:t>أ</w:t>
      </w:r>
      <w:r>
        <w:rPr>
          <w:spacing w:val="2"/>
          <w:w w:val="94"/>
          <w:sz w:val="22"/>
          <w:szCs w:val="22"/>
        </w:rPr>
        <w:t>خ</w:t>
      </w:r>
      <w:r>
        <w:rPr>
          <w:spacing w:val="1"/>
          <w:w w:val="69"/>
          <w:sz w:val="22"/>
          <w:szCs w:val="22"/>
        </w:rPr>
        <w:t>ز</w:t>
      </w:r>
      <w:r>
        <w:rPr>
          <w:spacing w:val="-1"/>
          <w:sz w:val="22"/>
          <w:szCs w:val="22"/>
        </w:rPr>
        <w:t>ث</w:t>
      </w:r>
      <w:r>
        <w:rPr>
          <w:sz w:val="22"/>
          <w:szCs w:val="22"/>
        </w:rPr>
        <w:t> </w:t>
      </w:r>
      <w:r>
        <w:rPr>
          <w:w w:val="88"/>
          <w:sz w:val="22"/>
          <w:szCs w:val="22"/>
        </w:rPr>
        <w:t>خال</w:t>
      </w:r>
      <w:r>
        <w:rPr>
          <w:sz w:val="22"/>
          <w:szCs w:val="22"/>
        </w:rPr>
        <w:t>ل</w:t>
      </w:r>
      <w:r>
        <w:rPr>
          <w:spacing w:val="1"/>
          <w:sz w:val="22"/>
          <w:szCs w:val="22"/>
        </w:rPr>
        <w:t> </w:t>
      </w:r>
      <w:r>
        <w:rPr>
          <w:w w:val="33"/>
          <w:sz w:val="22"/>
          <w:szCs w:val="22"/>
        </w:rPr>
        <w:t>ف</w:t>
      </w:r>
      <w:r>
        <w:rPr>
          <w:spacing w:val="-2"/>
          <w:w w:val="52"/>
          <w:sz w:val="22"/>
          <w:szCs w:val="22"/>
        </w:rPr>
        <w:t>خ</w:t>
      </w:r>
      <w:r>
        <w:rPr>
          <w:w w:val="52"/>
          <w:sz w:val="22"/>
          <w:szCs w:val="22"/>
        </w:rPr>
        <w:t>ش</w:t>
      </w:r>
      <w:r>
        <w:rPr>
          <w:spacing w:val="1"/>
          <w:sz w:val="22"/>
          <w:szCs w:val="22"/>
        </w:rPr>
        <w:t>ة</w:t>
      </w:r>
      <w:r>
        <w:rPr>
          <w:spacing w:val="2"/>
          <w:sz w:val="22"/>
          <w:szCs w:val="22"/>
        </w:rPr>
        <w:t> </w:t>
      </w:r>
      <w:r>
        <w:rPr>
          <w:sz w:val="22"/>
          <w:szCs w:val="22"/>
        </w:rPr>
        <w:t>د</w:t>
      </w:r>
      <w:r>
        <w:rPr>
          <w:spacing w:val="-2"/>
          <w:sz w:val="22"/>
          <w:szCs w:val="22"/>
        </w:rPr>
        <w:t>ا</w:t>
      </w:r>
      <w:r>
        <w:rPr>
          <w:spacing w:val="1"/>
          <w:w w:val="61"/>
          <w:sz w:val="22"/>
          <w:szCs w:val="22"/>
        </w:rPr>
        <w:t>ي</w:t>
      </w:r>
      <w:r>
        <w:rPr>
          <w:spacing w:val="-1"/>
          <w:w w:val="126"/>
          <w:sz w:val="22"/>
          <w:szCs w:val="22"/>
        </w:rPr>
        <w:t>ج</w:t>
      </w:r>
      <w:r>
        <w:rPr>
          <w:spacing w:val="-1"/>
          <w:sz w:val="22"/>
          <w:szCs w:val="22"/>
        </w:rPr>
        <w:t> </w:t>
      </w:r>
      <w:r>
        <w:rPr>
          <w:w w:val="39"/>
          <w:sz w:val="22"/>
          <w:szCs w:val="22"/>
        </w:rPr>
        <w:t>ن</w:t>
      </w:r>
      <w:r>
        <w:rPr>
          <w:spacing w:val="-2"/>
          <w:w w:val="59"/>
          <w:sz w:val="22"/>
          <w:szCs w:val="22"/>
        </w:rPr>
        <w:t>ث</w:t>
      </w:r>
      <w:r>
        <w:rPr>
          <w:w w:val="59"/>
          <w:sz w:val="22"/>
          <w:szCs w:val="22"/>
        </w:rPr>
        <w:t>ال</w:t>
      </w:r>
      <w:r>
        <w:rPr>
          <w:spacing w:val="-2"/>
          <w:w w:val="34"/>
          <w:sz w:val="22"/>
          <w:szCs w:val="22"/>
        </w:rPr>
        <w:t>ث</w:t>
      </w:r>
      <w:r>
        <w:rPr>
          <w:spacing w:val="1"/>
          <w:w w:val="52"/>
          <w:sz w:val="22"/>
          <w:szCs w:val="22"/>
        </w:rPr>
        <w:t>ت</w:t>
      </w:r>
      <w:r>
        <w:rPr>
          <w:spacing w:val="-1"/>
          <w:sz w:val="22"/>
          <w:szCs w:val="22"/>
        </w:rPr>
        <w:t> </w:t>
      </w:r>
      <w:r>
        <w:rPr>
          <w:sz w:val="22"/>
          <w:szCs w:val="22"/>
        </w:rPr>
        <w:t>أ</w:t>
      </w:r>
      <w:r>
        <w:rPr>
          <w:w w:val="64"/>
          <w:sz w:val="22"/>
          <w:szCs w:val="22"/>
        </w:rPr>
        <w:t>ش</w:t>
      </w:r>
      <w:r>
        <w:rPr>
          <w:spacing w:val="1"/>
          <w:w w:val="80"/>
          <w:sz w:val="22"/>
          <w:szCs w:val="22"/>
        </w:rPr>
        <w:t>ه</w:t>
      </w:r>
      <w:r>
        <w:rPr>
          <w:w w:val="80"/>
          <w:sz w:val="22"/>
          <w:szCs w:val="22"/>
        </w:rPr>
        <w:t>ش</w:t>
      </w:r>
      <w:r>
        <w:rPr>
          <w:spacing w:val="2"/>
          <w:sz w:val="22"/>
          <w:szCs w:val="22"/>
        </w:rPr>
        <w:t> </w:t>
      </w:r>
      <w:r>
        <w:rPr>
          <w:w w:val="61"/>
          <w:sz w:val="22"/>
          <w:szCs w:val="22"/>
        </w:rPr>
        <w:t>يٍ</w:t>
      </w:r>
      <w:r>
        <w:rPr>
          <w:spacing w:val="1"/>
          <w:sz w:val="22"/>
          <w:szCs w:val="22"/>
        </w:rPr>
        <w:t> </w:t>
      </w:r>
      <w:r>
        <w:rPr>
          <w:w w:val="33"/>
          <w:sz w:val="22"/>
          <w:szCs w:val="22"/>
        </w:rPr>
        <w:t>ف</w:t>
      </w:r>
      <w:r>
        <w:rPr>
          <w:spacing w:val="-2"/>
          <w:sz w:val="22"/>
          <w:szCs w:val="22"/>
        </w:rPr>
        <w:t>ُ</w:t>
      </w:r>
      <w:r>
        <w:rPr>
          <w:spacing w:val="-2"/>
          <w:w w:val="46"/>
          <w:sz w:val="22"/>
          <w:szCs w:val="22"/>
        </w:rPr>
        <w:t>ف</w:t>
      </w:r>
      <w:r>
        <w:rPr>
          <w:spacing w:val="-1"/>
          <w:w w:val="46"/>
          <w:sz w:val="22"/>
          <w:szCs w:val="22"/>
        </w:rPr>
        <w:t>شٌ</w:t>
      </w:r>
      <w:r>
        <w:rPr>
          <w:sz w:val="22"/>
          <w:szCs w:val="22"/>
        </w:rPr>
        <w:t> </w:t>
      </w:r>
      <w:r>
        <w:rPr>
          <w:w w:val="94"/>
          <w:sz w:val="22"/>
          <w:szCs w:val="22"/>
        </w:rPr>
        <w:t>ح</w:t>
      </w:r>
      <w:r>
        <w:rPr>
          <w:spacing w:val="-2"/>
          <w:w w:val="43"/>
          <w:sz w:val="22"/>
          <w:szCs w:val="22"/>
        </w:rPr>
        <w:t>خ</w:t>
      </w:r>
      <w:r>
        <w:rPr>
          <w:spacing w:val="-2"/>
          <w:sz w:val="22"/>
          <w:szCs w:val="22"/>
        </w:rPr>
        <w:t>ً</w:t>
      </w:r>
      <w:r>
        <w:rPr>
          <w:spacing w:val="-1"/>
          <w:sz w:val="22"/>
          <w:szCs w:val="22"/>
        </w:rPr>
        <w:t> </w:t>
      </w:r>
      <w:r>
        <w:rPr>
          <w:sz w:val="22"/>
          <w:szCs w:val="22"/>
        </w:rPr>
        <w:t>أ</w:t>
      </w:r>
      <w:r>
        <w:rPr>
          <w:spacing w:val="2"/>
          <w:w w:val="46"/>
          <w:sz w:val="22"/>
          <w:szCs w:val="22"/>
        </w:rPr>
        <w:t>ف</w:t>
      </w:r>
      <w:r>
        <w:rPr>
          <w:w w:val="46"/>
          <w:sz w:val="22"/>
          <w:szCs w:val="22"/>
        </w:rPr>
        <w:t>ش</w:t>
      </w:r>
      <w:r>
        <w:rPr>
          <w:spacing w:val="-2"/>
          <w:sz w:val="22"/>
          <w:szCs w:val="22"/>
        </w:rPr>
        <w:t>َ</w:t>
      </w:r>
      <w:r>
        <w:rPr>
          <w:w w:val="149"/>
          <w:sz w:val="22"/>
          <w:szCs w:val="22"/>
        </w:rPr>
        <w:t>م</w:t>
      </w:r>
      <w:r>
        <w:rPr>
          <w:spacing w:val="-6"/>
          <w:sz w:val="22"/>
          <w:szCs w:val="22"/>
        </w:rPr>
        <w:t> </w:t>
      </w:r>
      <w:r>
        <w:rPr>
          <w:spacing w:val="2"/>
          <w:sz w:val="22"/>
          <w:szCs w:val="22"/>
        </w:rPr>
        <w:t>201</w:t>
      </w:r>
      <w:r>
        <w:rPr>
          <w:sz w:val="22"/>
          <w:szCs w:val="22"/>
        </w:rPr>
        <w:t>6</w:t>
      </w:r>
    </w:p>
    <w:p>
      <w:pPr>
        <w:bidi/>
        <w:spacing w:before="39"/>
        <w:ind w:left="0" w:right="4587" w:firstLine="0"/>
        <w:jc w:val="right"/>
        <w:rPr>
          <w:sz w:val="22"/>
          <w:szCs w:val="22"/>
        </w:rPr>
      </w:pPr>
      <w:r>
        <w:rPr>
          <w:w w:val="76"/>
          <w:sz w:val="22"/>
          <w:szCs w:val="22"/>
        </w:rPr>
        <w:t>يخ</w:t>
      </w:r>
      <w:r>
        <w:rPr>
          <w:spacing w:val="-2"/>
          <w:w w:val="43"/>
          <w:sz w:val="22"/>
          <w:szCs w:val="22"/>
        </w:rPr>
        <w:t>خ</w:t>
      </w:r>
      <w:r>
        <w:rPr>
          <w:spacing w:val="-2"/>
          <w:w w:val="47"/>
          <w:sz w:val="22"/>
          <w:szCs w:val="22"/>
        </w:rPr>
        <w:t>ب</w:t>
      </w:r>
      <w:r>
        <w:rPr>
          <w:w w:val="47"/>
          <w:sz w:val="22"/>
          <w:szCs w:val="22"/>
        </w:rPr>
        <w:t>ش</w:t>
      </w:r>
      <w:r>
        <w:rPr>
          <w:spacing w:val="-1"/>
          <w:sz w:val="22"/>
          <w:szCs w:val="22"/>
        </w:rPr>
        <w:t> </w:t>
      </w:r>
      <w:r>
        <w:rPr>
          <w:sz w:val="22"/>
          <w:szCs w:val="22"/>
        </w:rPr>
        <w:t>ا</w:t>
      </w:r>
      <w:r>
        <w:rPr>
          <w:spacing w:val="-2"/>
          <w:w w:val="56"/>
          <w:sz w:val="22"/>
          <w:szCs w:val="22"/>
        </w:rPr>
        <w:t>ن</w:t>
      </w:r>
      <w:r>
        <w:rPr>
          <w:w w:val="56"/>
          <w:sz w:val="22"/>
          <w:szCs w:val="22"/>
        </w:rPr>
        <w:t>جض</w:t>
      </w:r>
      <w:r>
        <w:rPr>
          <w:spacing w:val="-2"/>
          <w:sz w:val="22"/>
          <w:szCs w:val="22"/>
        </w:rPr>
        <w:t>ا</w:t>
      </w:r>
      <w:r>
        <w:rPr>
          <w:spacing w:val="-2"/>
          <w:w w:val="50"/>
          <w:sz w:val="22"/>
          <w:szCs w:val="22"/>
        </w:rPr>
        <w:t>ئ</w:t>
      </w:r>
      <w:r>
        <w:rPr>
          <w:w w:val="50"/>
          <w:sz w:val="22"/>
          <w:szCs w:val="22"/>
        </w:rPr>
        <w:t>ش</w:t>
      </w:r>
      <w:r>
        <w:rPr>
          <w:spacing w:val="-2"/>
          <w:sz w:val="22"/>
          <w:szCs w:val="22"/>
        </w:rPr>
        <w:t>َ</w:t>
      </w:r>
      <w:r>
        <w:rPr>
          <w:spacing w:val="1"/>
          <w:w w:val="52"/>
          <w:sz w:val="22"/>
          <w:szCs w:val="22"/>
        </w:rPr>
        <w:t>ت</w:t>
      </w:r>
      <w:r>
        <w:rPr>
          <w:spacing w:val="-1"/>
          <w:sz w:val="22"/>
          <w:szCs w:val="22"/>
        </w:rPr>
        <w:t> </w:t>
      </w:r>
      <w:r>
        <w:rPr>
          <w:w w:val="39"/>
          <w:sz w:val="22"/>
          <w:szCs w:val="22"/>
        </w:rPr>
        <w:t>ن</w:t>
      </w:r>
      <w:r>
        <w:rPr>
          <w:spacing w:val="-2"/>
          <w:w w:val="73"/>
          <w:sz w:val="22"/>
          <w:szCs w:val="22"/>
        </w:rPr>
        <w:t>ه</w:t>
      </w:r>
      <w:r>
        <w:rPr>
          <w:spacing w:val="1"/>
          <w:sz w:val="22"/>
          <w:szCs w:val="22"/>
        </w:rPr>
        <w:t>ً</w:t>
      </w:r>
      <w:r>
        <w:rPr>
          <w:spacing w:val="-2"/>
          <w:sz w:val="22"/>
          <w:szCs w:val="22"/>
        </w:rPr>
        <w:t>ُ</w:t>
      </w:r>
      <w:r>
        <w:rPr>
          <w:spacing w:val="1"/>
          <w:w w:val="32"/>
          <w:sz w:val="22"/>
          <w:szCs w:val="22"/>
        </w:rPr>
        <w:t>ب</w:t>
      </w:r>
      <w:r>
        <w:rPr>
          <w:spacing w:val="1"/>
          <w:sz w:val="22"/>
          <w:szCs w:val="22"/>
        </w:rPr>
        <w:t>ِ</w:t>
      </w:r>
      <w:r>
        <w:rPr>
          <w:spacing w:val="-2"/>
          <w:sz w:val="22"/>
          <w:szCs w:val="22"/>
        </w:rPr>
        <w:t> </w:t>
      </w:r>
      <w:r>
        <w:rPr>
          <w:w w:val="60"/>
          <w:sz w:val="22"/>
          <w:szCs w:val="22"/>
        </w:rPr>
        <w:t>بح</w:t>
      </w:r>
      <w:r>
        <w:rPr>
          <w:spacing w:val="1"/>
          <w:sz w:val="22"/>
          <w:szCs w:val="22"/>
        </w:rPr>
        <w:t>ً</w:t>
      </w:r>
      <w:r>
        <w:rPr>
          <w:spacing w:val="1"/>
          <w:w w:val="32"/>
          <w:sz w:val="22"/>
          <w:szCs w:val="22"/>
        </w:rPr>
        <w:t>ب</w:t>
      </w:r>
      <w:r>
        <w:rPr>
          <w:spacing w:val="1"/>
          <w:w w:val="78"/>
          <w:sz w:val="22"/>
          <w:szCs w:val="22"/>
        </w:rPr>
        <w:t>و</w:t>
      </w:r>
      <w:r>
        <w:rPr>
          <w:spacing w:val="2"/>
          <w:sz w:val="22"/>
          <w:szCs w:val="22"/>
        </w:rPr>
        <w:t> </w:t>
      </w:r>
      <w:r>
        <w:rPr>
          <w:sz w:val="22"/>
          <w:szCs w:val="22"/>
        </w:rPr>
        <w:t>د</w:t>
      </w:r>
      <w:r>
        <w:rPr>
          <w:spacing w:val="-2"/>
          <w:w w:val="34"/>
          <w:sz w:val="22"/>
          <w:szCs w:val="22"/>
        </w:rPr>
        <w:t>ب</w:t>
      </w:r>
      <w:r>
        <w:rPr>
          <w:spacing w:val="1"/>
          <w:w w:val="57"/>
          <w:sz w:val="22"/>
          <w:szCs w:val="22"/>
        </w:rPr>
        <w:t>ب</w:t>
      </w:r>
      <w:r>
        <w:rPr>
          <w:w w:val="57"/>
          <w:sz w:val="22"/>
          <w:szCs w:val="22"/>
        </w:rPr>
        <w:t>ؽ</w:t>
      </w:r>
      <w:r>
        <w:rPr>
          <w:spacing w:val="1"/>
          <w:sz w:val="22"/>
          <w:szCs w:val="22"/>
        </w:rPr>
        <w:t>.</w:t>
      </w:r>
    </w:p>
    <w:p>
      <w:pPr>
        <w:spacing w:after="0"/>
        <w:jc w:val="right"/>
        <w:rPr>
          <w:sz w:val="22"/>
          <w:szCs w:val="22"/>
        </w:rPr>
        <w:sectPr>
          <w:type w:val="continuous"/>
          <w:pgSz w:w="11900" w:h="16840"/>
          <w:pgMar w:top="1060" w:bottom="280" w:left="740" w:right="0"/>
          <w:cols w:num="2" w:equalWidth="0">
            <w:col w:w="2358" w:space="40"/>
            <w:col w:w="8762"/>
          </w:cols>
        </w:sectPr>
      </w:pPr>
    </w:p>
    <w:p>
      <w:pPr>
        <w:pStyle w:val="BodyText"/>
        <w:spacing w:before="6"/>
        <w:rPr>
          <w:sz w:val="12"/>
        </w:rPr>
      </w:pPr>
    </w:p>
    <w:p>
      <w:pPr>
        <w:bidi/>
        <w:spacing w:before="90"/>
        <w:ind w:left="0" w:right="1482" w:firstLine="0"/>
        <w:jc w:val="right"/>
        <w:rPr>
          <w:sz w:val="22"/>
          <w:szCs w:val="22"/>
        </w:rPr>
      </w:pPr>
      <w:r>
        <w:rPr>
          <w:sz w:val="22"/>
          <w:szCs w:val="22"/>
        </w:rPr>
        <w:t>أ</w:t>
      </w:r>
      <w:r>
        <w:rPr>
          <w:spacing w:val="2"/>
          <w:sz w:val="22"/>
          <w:szCs w:val="22"/>
        </w:rPr>
        <w:t>ظ</w:t>
      </w:r>
      <w:r>
        <w:rPr>
          <w:spacing w:val="1"/>
          <w:w w:val="80"/>
          <w:sz w:val="22"/>
          <w:szCs w:val="22"/>
        </w:rPr>
        <w:t>ه</w:t>
      </w:r>
      <w:r>
        <w:rPr>
          <w:w w:val="80"/>
          <w:sz w:val="22"/>
          <w:szCs w:val="22"/>
        </w:rPr>
        <w:t>ش</w:t>
      </w:r>
      <w:r>
        <w:rPr>
          <w:spacing w:val="-1"/>
          <w:sz w:val="22"/>
          <w:szCs w:val="22"/>
        </w:rPr>
        <w:t>ث </w:t>
      </w:r>
      <w:r>
        <w:rPr>
          <w:sz w:val="22"/>
          <w:szCs w:val="22"/>
        </w:rPr>
        <w:t>ا</w:t>
      </w:r>
      <w:r>
        <w:rPr>
          <w:spacing w:val="-2"/>
          <w:w w:val="39"/>
          <w:sz w:val="22"/>
          <w:szCs w:val="22"/>
        </w:rPr>
        <w:t>ن</w:t>
      </w:r>
      <w:r>
        <w:rPr>
          <w:spacing w:val="-2"/>
          <w:sz w:val="22"/>
          <w:szCs w:val="22"/>
        </w:rPr>
        <w:t>ُ</w:t>
      </w:r>
      <w:r>
        <w:rPr>
          <w:spacing w:val="-2"/>
          <w:w w:val="43"/>
          <w:sz w:val="22"/>
          <w:szCs w:val="22"/>
        </w:rPr>
        <w:t>خ</w:t>
      </w:r>
      <w:r>
        <w:rPr>
          <w:spacing w:val="1"/>
          <w:w w:val="32"/>
          <w:sz w:val="22"/>
          <w:szCs w:val="22"/>
        </w:rPr>
        <w:t>ب</w:t>
      </w:r>
      <w:r>
        <w:rPr>
          <w:spacing w:val="-2"/>
          <w:w w:val="64"/>
          <w:sz w:val="22"/>
          <w:szCs w:val="22"/>
        </w:rPr>
        <w:t>ئ</w:t>
      </w:r>
      <w:r>
        <w:rPr>
          <w:w w:val="64"/>
          <w:sz w:val="22"/>
          <w:szCs w:val="22"/>
        </w:rPr>
        <w:t>ج</w:t>
      </w:r>
      <w:r>
        <w:rPr>
          <w:spacing w:val="1"/>
          <w:sz w:val="22"/>
          <w:szCs w:val="22"/>
        </w:rPr>
        <w:t> </w:t>
      </w:r>
      <w:r>
        <w:rPr>
          <w:w w:val="64"/>
          <w:sz w:val="22"/>
          <w:szCs w:val="22"/>
        </w:rPr>
        <w:t>ػ</w:t>
      </w:r>
      <w:r>
        <w:rPr>
          <w:spacing w:val="1"/>
          <w:sz w:val="22"/>
          <w:szCs w:val="22"/>
        </w:rPr>
        <w:t>ً</w:t>
      </w:r>
      <w:r>
        <w:rPr>
          <w:w w:val="67"/>
          <w:sz w:val="22"/>
          <w:szCs w:val="22"/>
        </w:rPr>
        <w:t>ى</w:t>
      </w:r>
      <w:r>
        <w:rPr>
          <w:spacing w:val="1"/>
          <w:w w:val="61"/>
          <w:sz w:val="22"/>
          <w:szCs w:val="22"/>
        </w:rPr>
        <w:t>ي</w:t>
      </w:r>
      <w:r>
        <w:rPr>
          <w:spacing w:val="1"/>
          <w:w w:val="32"/>
          <w:sz w:val="22"/>
          <w:szCs w:val="22"/>
        </w:rPr>
        <w:t>ب</w:t>
      </w:r>
      <w:r>
        <w:rPr>
          <w:spacing w:val="2"/>
          <w:sz w:val="22"/>
          <w:szCs w:val="22"/>
        </w:rPr>
        <w:t>أ</w:t>
      </w:r>
      <w:r>
        <w:rPr>
          <w:spacing w:val="3"/>
          <w:sz w:val="22"/>
          <w:szCs w:val="22"/>
        </w:rPr>
        <w:t>ٌ</w:t>
      </w:r>
      <w:r>
        <w:rPr>
          <w:spacing w:val="-1"/>
          <w:sz w:val="22"/>
          <w:szCs w:val="22"/>
        </w:rPr>
        <w:t> </w:t>
      </w:r>
      <w:r>
        <w:rPr>
          <w:sz w:val="22"/>
          <w:szCs w:val="22"/>
        </w:rPr>
        <w:t>ا</w:t>
      </w:r>
      <w:r>
        <w:rPr>
          <w:spacing w:val="-2"/>
          <w:w w:val="39"/>
          <w:sz w:val="22"/>
          <w:szCs w:val="22"/>
        </w:rPr>
        <w:t>ن</w:t>
      </w:r>
      <w:r>
        <w:rPr>
          <w:spacing w:val="1"/>
          <w:sz w:val="22"/>
          <w:szCs w:val="22"/>
        </w:rPr>
        <w:t>ً</w:t>
      </w:r>
      <w:r>
        <w:rPr>
          <w:spacing w:val="-2"/>
          <w:sz w:val="22"/>
          <w:szCs w:val="22"/>
        </w:rPr>
        <w:t>ُ</w:t>
      </w:r>
      <w:r>
        <w:rPr>
          <w:spacing w:val="1"/>
          <w:w w:val="32"/>
          <w:sz w:val="22"/>
          <w:szCs w:val="22"/>
        </w:rPr>
        <w:t>ب</w:t>
      </w:r>
      <w:r>
        <w:rPr>
          <w:spacing w:val="-2"/>
          <w:w w:val="34"/>
          <w:sz w:val="22"/>
          <w:szCs w:val="22"/>
        </w:rPr>
        <w:t>ب</w:t>
      </w:r>
      <w:r>
        <w:rPr>
          <w:w w:val="82"/>
          <w:sz w:val="22"/>
          <w:szCs w:val="22"/>
        </w:rPr>
        <w:t>غ</w:t>
      </w:r>
      <w:r>
        <w:rPr>
          <w:spacing w:val="-1"/>
          <w:sz w:val="22"/>
          <w:szCs w:val="22"/>
        </w:rPr>
        <w:t> </w:t>
      </w:r>
      <w:r>
        <w:rPr>
          <w:sz w:val="22"/>
          <w:szCs w:val="22"/>
        </w:rPr>
        <w:t>ا</w:t>
      </w:r>
      <w:r>
        <w:rPr>
          <w:spacing w:val="-2"/>
          <w:w w:val="39"/>
          <w:sz w:val="22"/>
          <w:szCs w:val="22"/>
        </w:rPr>
        <w:t>ن</w:t>
      </w:r>
      <w:r>
        <w:rPr>
          <w:spacing w:val="-1"/>
          <w:w w:val="64"/>
          <w:sz w:val="22"/>
          <w:szCs w:val="22"/>
        </w:rPr>
        <w:t>س</w:t>
      </w:r>
      <w:r>
        <w:rPr>
          <w:spacing w:val="-2"/>
          <w:w w:val="43"/>
          <w:sz w:val="22"/>
          <w:szCs w:val="22"/>
        </w:rPr>
        <w:t>خ</w:t>
      </w:r>
      <w:r>
        <w:rPr>
          <w:spacing w:val="1"/>
          <w:w w:val="52"/>
          <w:sz w:val="22"/>
          <w:szCs w:val="22"/>
        </w:rPr>
        <w:t>ت</w:t>
      </w:r>
      <w:r>
        <w:rPr>
          <w:spacing w:val="2"/>
          <w:sz w:val="22"/>
          <w:szCs w:val="22"/>
        </w:rPr>
        <w:t> </w:t>
      </w:r>
      <w:r>
        <w:rPr>
          <w:w w:val="69"/>
          <w:sz w:val="22"/>
          <w:szCs w:val="22"/>
        </w:rPr>
        <w:t>ر</w:t>
      </w:r>
      <w:r>
        <w:rPr>
          <w:spacing w:val="-2"/>
          <w:sz w:val="22"/>
          <w:szCs w:val="22"/>
        </w:rPr>
        <w:t>ا</w:t>
      </w:r>
      <w:r>
        <w:rPr>
          <w:spacing w:val="-1"/>
          <w:sz w:val="22"/>
          <w:szCs w:val="22"/>
        </w:rPr>
        <w:t>ث </w:t>
      </w:r>
      <w:r>
        <w:rPr>
          <w:sz w:val="22"/>
          <w:szCs w:val="22"/>
        </w:rPr>
        <w:t>َ</w:t>
      </w:r>
      <w:r>
        <w:rPr>
          <w:spacing w:val="1"/>
          <w:w w:val="66"/>
          <w:sz w:val="22"/>
          <w:szCs w:val="22"/>
        </w:rPr>
        <w:t>ى</w:t>
      </w:r>
      <w:r>
        <w:rPr>
          <w:w w:val="66"/>
          <w:sz w:val="22"/>
          <w:szCs w:val="22"/>
        </w:rPr>
        <w:t>ػ</w:t>
      </w:r>
      <w:r>
        <w:rPr>
          <w:spacing w:val="-2"/>
          <w:sz w:val="22"/>
          <w:szCs w:val="22"/>
        </w:rPr>
        <w:t>ُ</w:t>
      </w:r>
      <w:r>
        <w:rPr>
          <w:spacing w:val="1"/>
          <w:w w:val="52"/>
          <w:sz w:val="22"/>
          <w:szCs w:val="22"/>
        </w:rPr>
        <w:t>ت</w:t>
      </w:r>
      <w:r>
        <w:rPr>
          <w:spacing w:val="2"/>
          <w:sz w:val="22"/>
          <w:szCs w:val="22"/>
        </w:rPr>
        <w:t> </w:t>
      </w:r>
      <w:r>
        <w:rPr>
          <w:w w:val="33"/>
          <w:sz w:val="22"/>
          <w:szCs w:val="22"/>
        </w:rPr>
        <w:t>ف</w:t>
      </w:r>
      <w:r>
        <w:rPr>
          <w:spacing w:val="-2"/>
          <w:w w:val="44"/>
          <w:sz w:val="22"/>
          <w:szCs w:val="22"/>
        </w:rPr>
        <w:t>ُ</w:t>
      </w:r>
      <w:r>
        <w:rPr>
          <w:w w:val="44"/>
          <w:sz w:val="22"/>
          <w:szCs w:val="22"/>
        </w:rPr>
        <w:t>ض</w:t>
      </w:r>
      <w:r>
        <w:rPr>
          <w:spacing w:val="-2"/>
          <w:sz w:val="22"/>
          <w:szCs w:val="22"/>
        </w:rPr>
        <w:t>َ</w:t>
      </w:r>
      <w:r>
        <w:rPr>
          <w:spacing w:val="1"/>
          <w:w w:val="32"/>
          <w:sz w:val="22"/>
          <w:szCs w:val="22"/>
        </w:rPr>
        <w:t>ب</w:t>
      </w:r>
      <w:r>
        <w:rPr>
          <w:spacing w:val="-2"/>
          <w:w w:val="38"/>
          <w:sz w:val="22"/>
          <w:szCs w:val="22"/>
        </w:rPr>
        <w:t>ئ</w:t>
      </w:r>
      <w:r>
        <w:rPr>
          <w:spacing w:val="-2"/>
          <w:sz w:val="22"/>
          <w:szCs w:val="22"/>
        </w:rPr>
        <w:t> </w:t>
      </w:r>
      <w:r>
        <w:rPr>
          <w:sz w:val="22"/>
          <w:szCs w:val="22"/>
        </w:rPr>
        <w:t>ة</w:t>
      </w:r>
      <w:r>
        <w:rPr>
          <w:spacing w:val="-118"/>
          <w:sz w:val="22"/>
          <w:szCs w:val="22"/>
        </w:rPr>
        <w:t>ٍ</w:t>
      </w:r>
      <w:r>
        <w:rPr>
          <w:spacing w:val="15"/>
          <w:sz w:val="22"/>
          <w:szCs w:val="22"/>
        </w:rPr>
        <w:t> </w:t>
      </w:r>
      <w:r>
        <w:rPr>
          <w:sz w:val="22"/>
          <w:szCs w:val="22"/>
        </w:rPr>
        <w:t>و</w:t>
      </w:r>
      <w:r>
        <w:rPr>
          <w:spacing w:val="1"/>
          <w:w w:val="65"/>
          <w:sz w:val="22"/>
          <w:szCs w:val="22"/>
        </w:rPr>
        <w:t>ك</w:t>
      </w:r>
      <w:r>
        <w:rPr>
          <w:spacing w:val="-2"/>
          <w:sz w:val="22"/>
          <w:szCs w:val="22"/>
        </w:rPr>
        <w:t>ُ</w:t>
      </w:r>
      <w:r>
        <w:rPr>
          <w:spacing w:val="1"/>
          <w:sz w:val="22"/>
          <w:szCs w:val="22"/>
        </w:rPr>
        <w:t>ً</w:t>
      </w:r>
      <w:r>
        <w:rPr>
          <w:spacing w:val="-2"/>
          <w:sz w:val="22"/>
          <w:szCs w:val="22"/>
        </w:rPr>
        <w:t>ُ</w:t>
      </w:r>
      <w:r>
        <w:rPr>
          <w:spacing w:val="1"/>
          <w:w w:val="32"/>
          <w:sz w:val="22"/>
          <w:szCs w:val="22"/>
        </w:rPr>
        <w:t>ب</w:t>
      </w:r>
      <w:r>
        <w:rPr>
          <w:spacing w:val="-2"/>
          <w:w w:val="38"/>
          <w:sz w:val="22"/>
          <w:szCs w:val="22"/>
        </w:rPr>
        <w:t>ئ</w:t>
      </w:r>
      <w:r>
        <w:rPr>
          <w:spacing w:val="-2"/>
          <w:sz w:val="22"/>
          <w:szCs w:val="22"/>
        </w:rPr>
        <w:t>ُ</w:t>
      </w:r>
      <w:r>
        <w:rPr>
          <w:spacing w:val="1"/>
          <w:w w:val="52"/>
          <w:sz w:val="22"/>
          <w:szCs w:val="22"/>
        </w:rPr>
        <w:t>ت</w:t>
      </w:r>
      <w:r>
        <w:rPr>
          <w:sz w:val="22"/>
          <w:szCs w:val="22"/>
        </w:rPr>
        <w:t> </w:t>
      </w:r>
      <w:r>
        <w:rPr>
          <w:w w:val="94"/>
          <w:sz w:val="22"/>
          <w:szCs w:val="22"/>
        </w:rPr>
        <w:t>ج</w:t>
      </w:r>
      <w:r>
        <w:rPr>
          <w:spacing w:val="-2"/>
          <w:sz w:val="22"/>
          <w:szCs w:val="22"/>
        </w:rPr>
        <w:t>ُ</w:t>
      </w:r>
      <w:r>
        <w:rPr>
          <w:spacing w:val="1"/>
          <w:sz w:val="22"/>
          <w:szCs w:val="22"/>
        </w:rPr>
        <w:t>ذة </w:t>
      </w:r>
      <w:r>
        <w:rPr>
          <w:sz w:val="22"/>
          <w:szCs w:val="22"/>
        </w:rPr>
        <w:t>و</w:t>
      </w:r>
      <w:r>
        <w:rPr>
          <w:spacing w:val="-2"/>
          <w:w w:val="43"/>
          <w:sz w:val="22"/>
          <w:szCs w:val="22"/>
        </w:rPr>
        <w:t>حخ</w:t>
      </w:r>
      <w:r>
        <w:rPr>
          <w:w w:val="67"/>
          <w:sz w:val="22"/>
          <w:szCs w:val="22"/>
        </w:rPr>
        <w:t>ى</w:t>
      </w:r>
      <w:r>
        <w:rPr>
          <w:spacing w:val="-2"/>
          <w:sz w:val="22"/>
          <w:szCs w:val="22"/>
        </w:rPr>
        <w:t>ا</w:t>
      </w:r>
      <w:r>
        <w:rPr>
          <w:w w:val="61"/>
          <w:sz w:val="22"/>
          <w:szCs w:val="22"/>
        </w:rPr>
        <w:t>فق</w:t>
      </w:r>
      <w:r>
        <w:rPr>
          <w:spacing w:val="1"/>
          <w:sz w:val="22"/>
          <w:szCs w:val="22"/>
        </w:rPr>
        <w:t> </w:t>
      </w:r>
      <w:r>
        <w:rPr>
          <w:w w:val="61"/>
          <w:sz w:val="22"/>
          <w:szCs w:val="22"/>
        </w:rPr>
        <w:t>ي</w:t>
      </w:r>
      <w:r>
        <w:rPr>
          <w:w w:val="82"/>
          <w:sz w:val="22"/>
          <w:szCs w:val="22"/>
        </w:rPr>
        <w:t>غ</w:t>
      </w:r>
      <w:r>
        <w:rPr>
          <w:spacing w:val="1"/>
          <w:sz w:val="22"/>
          <w:szCs w:val="22"/>
        </w:rPr>
        <w:t> </w:t>
      </w:r>
      <w:r>
        <w:rPr>
          <w:w w:val="61"/>
          <w:sz w:val="22"/>
          <w:szCs w:val="22"/>
        </w:rPr>
        <w:t>ي</w:t>
      </w:r>
      <w:r>
        <w:rPr>
          <w:spacing w:val="1"/>
          <w:w w:val="48"/>
          <w:sz w:val="22"/>
          <w:szCs w:val="22"/>
        </w:rPr>
        <w:t>ؼ</w:t>
      </w:r>
      <w:r>
        <w:rPr>
          <w:spacing w:val="1"/>
          <w:w w:val="32"/>
          <w:sz w:val="22"/>
          <w:szCs w:val="22"/>
        </w:rPr>
        <w:t>ب</w:t>
      </w:r>
      <w:r>
        <w:rPr>
          <w:spacing w:val="-2"/>
          <w:sz w:val="22"/>
          <w:szCs w:val="22"/>
        </w:rPr>
        <w:t>َ</w:t>
      </w:r>
      <w:r>
        <w:rPr>
          <w:spacing w:val="-2"/>
          <w:w w:val="59"/>
          <w:sz w:val="22"/>
          <w:szCs w:val="22"/>
        </w:rPr>
        <w:t>ُ</w:t>
      </w:r>
      <w:r>
        <w:rPr>
          <w:w w:val="59"/>
          <w:sz w:val="22"/>
          <w:szCs w:val="22"/>
        </w:rPr>
        <w:t>ش</w:t>
      </w:r>
      <w:r>
        <w:rPr>
          <w:spacing w:val="-2"/>
          <w:sz w:val="22"/>
          <w:szCs w:val="22"/>
        </w:rPr>
        <w:t> </w:t>
      </w:r>
      <w:r>
        <w:rPr>
          <w:w w:val="61"/>
          <w:sz w:val="22"/>
          <w:szCs w:val="22"/>
        </w:rPr>
        <w:t>ي</w:t>
      </w:r>
      <w:r>
        <w:rPr>
          <w:spacing w:val="-2"/>
          <w:sz w:val="22"/>
          <w:szCs w:val="22"/>
        </w:rPr>
        <w:t>ُ</w:t>
      </w:r>
      <w:r>
        <w:rPr>
          <w:sz w:val="22"/>
          <w:szCs w:val="22"/>
        </w:rPr>
        <w:t>ظ</w:t>
      </w:r>
      <w:r>
        <w:rPr>
          <w:spacing w:val="1"/>
          <w:sz w:val="22"/>
          <w:szCs w:val="22"/>
        </w:rPr>
        <w:t>ً</w:t>
      </w:r>
      <w:r>
        <w:rPr>
          <w:spacing w:val="1"/>
          <w:w w:val="52"/>
          <w:sz w:val="22"/>
          <w:szCs w:val="22"/>
        </w:rPr>
        <w:t>ت</w:t>
      </w:r>
      <w:r>
        <w:rPr>
          <w:spacing w:val="-3"/>
          <w:sz w:val="22"/>
          <w:szCs w:val="22"/>
        </w:rPr>
        <w:t> </w:t>
      </w:r>
      <w:r>
        <w:rPr>
          <w:sz w:val="22"/>
          <w:szCs w:val="22"/>
        </w:rPr>
        <w:t>ا</w:t>
      </w:r>
      <w:r>
        <w:rPr>
          <w:spacing w:val="-2"/>
          <w:w w:val="39"/>
          <w:sz w:val="22"/>
          <w:szCs w:val="22"/>
        </w:rPr>
        <w:t>ن</w:t>
      </w:r>
      <w:r>
        <w:rPr>
          <w:spacing w:val="1"/>
          <w:w w:val="82"/>
          <w:sz w:val="22"/>
          <w:szCs w:val="22"/>
        </w:rPr>
        <w:t>ص</w:t>
      </w:r>
      <w:r>
        <w:rPr>
          <w:w w:val="82"/>
          <w:sz w:val="22"/>
          <w:szCs w:val="22"/>
        </w:rPr>
        <w:t>ح</w:t>
      </w:r>
      <w:r>
        <w:rPr>
          <w:spacing w:val="1"/>
          <w:w w:val="52"/>
          <w:sz w:val="22"/>
          <w:szCs w:val="22"/>
        </w:rPr>
        <w:t>ت</w:t>
      </w:r>
      <w:r>
        <w:rPr>
          <w:spacing w:val="-1"/>
          <w:sz w:val="22"/>
          <w:szCs w:val="22"/>
        </w:rPr>
        <w:t> </w:t>
      </w:r>
      <w:r>
        <w:rPr>
          <w:sz w:val="22"/>
          <w:szCs w:val="22"/>
        </w:rPr>
        <w:t>ا</w:t>
      </w:r>
      <w:r>
        <w:rPr>
          <w:spacing w:val="-2"/>
          <w:w w:val="39"/>
          <w:sz w:val="22"/>
          <w:szCs w:val="22"/>
        </w:rPr>
        <w:t>ن</w:t>
      </w:r>
      <w:r>
        <w:rPr>
          <w:spacing w:val="1"/>
          <w:w w:val="48"/>
          <w:sz w:val="22"/>
          <w:szCs w:val="22"/>
        </w:rPr>
        <w:t>ؼ</w:t>
      </w:r>
      <w:r>
        <w:rPr>
          <w:spacing w:val="1"/>
          <w:w w:val="32"/>
          <w:sz w:val="22"/>
          <w:szCs w:val="22"/>
        </w:rPr>
        <w:t>ب</w:t>
      </w:r>
      <w:r>
        <w:rPr>
          <w:spacing w:val="-2"/>
          <w:w w:val="39"/>
          <w:sz w:val="22"/>
          <w:szCs w:val="22"/>
        </w:rPr>
        <w:t>ن</w:t>
      </w:r>
      <w:r>
        <w:rPr>
          <w:spacing w:val="1"/>
          <w:sz w:val="22"/>
          <w:szCs w:val="22"/>
        </w:rPr>
        <w:t>ً</w:t>
      </w:r>
      <w:r>
        <w:rPr>
          <w:spacing w:val="-2"/>
          <w:sz w:val="22"/>
          <w:szCs w:val="22"/>
        </w:rPr>
        <w:t>ُ</w:t>
      </w:r>
      <w:r>
        <w:rPr>
          <w:spacing w:val="1"/>
          <w:w w:val="52"/>
          <w:sz w:val="22"/>
          <w:szCs w:val="22"/>
        </w:rPr>
        <w:t>ت</w:t>
      </w:r>
      <w:r>
        <w:rPr>
          <w:spacing w:val="1"/>
          <w:sz w:val="22"/>
          <w:szCs w:val="22"/>
        </w:rPr>
        <w:t>.</w:t>
      </w:r>
    </w:p>
    <w:p>
      <w:pPr>
        <w:pStyle w:val="BodyText"/>
        <w:spacing w:before="10"/>
        <w:rPr>
          <w:sz w:val="12"/>
        </w:rPr>
      </w:pPr>
    </w:p>
    <w:p>
      <w:pPr>
        <w:bidi/>
        <w:spacing w:line="276" w:lineRule="auto" w:before="91"/>
        <w:ind w:left="1796" w:right="1103" w:firstLine="123"/>
        <w:jc w:val="both"/>
        <w:rPr>
          <w:sz w:val="22"/>
          <w:szCs w:val="22"/>
        </w:rPr>
      </w:pPr>
      <w:r>
        <w:rPr>
          <w:spacing w:val="1"/>
          <w:w w:val="32"/>
          <w:sz w:val="22"/>
          <w:szCs w:val="22"/>
        </w:rPr>
        <w:t>                                                                                     </w:t>
      </w:r>
      <w:r>
        <w:rPr>
          <w:sz w:val="22"/>
          <w:szCs w:val="22"/>
        </w:rPr>
        <w:t> أ</w:t>
      </w:r>
      <w:r>
        <w:rPr>
          <w:spacing w:val="5"/>
          <w:w w:val="61"/>
          <w:sz w:val="22"/>
          <w:szCs w:val="22"/>
        </w:rPr>
        <w:t>ي</w:t>
      </w:r>
      <w:r>
        <w:rPr>
          <w:spacing w:val="1"/>
          <w:w w:val="32"/>
          <w:sz w:val="22"/>
          <w:szCs w:val="22"/>
        </w:rPr>
        <w:t>ب</w:t>
      </w:r>
      <w:r>
        <w:rPr>
          <w:spacing w:val="1"/>
          <w:sz w:val="22"/>
          <w:szCs w:val="22"/>
        </w:rPr>
        <w:t> </w:t>
      </w:r>
      <w:r>
        <w:rPr>
          <w:w w:val="33"/>
          <w:sz w:val="22"/>
          <w:szCs w:val="22"/>
        </w:rPr>
        <w:t>ف</w:t>
      </w:r>
      <w:r>
        <w:rPr>
          <w:spacing w:val="-2"/>
          <w:sz w:val="22"/>
          <w:szCs w:val="22"/>
        </w:rPr>
        <w:t>ُ</w:t>
      </w:r>
      <w:r>
        <w:rPr>
          <w:spacing w:val="1"/>
          <w:sz w:val="22"/>
          <w:szCs w:val="22"/>
        </w:rPr>
        <w:t>ً</w:t>
      </w:r>
      <w:r>
        <w:rPr>
          <w:spacing w:val="1"/>
          <w:w w:val="32"/>
          <w:sz w:val="22"/>
          <w:szCs w:val="22"/>
        </w:rPr>
        <w:t>ب</w:t>
      </w:r>
      <w:r>
        <w:rPr>
          <w:spacing w:val="-1"/>
          <w:sz w:val="22"/>
          <w:szCs w:val="22"/>
        </w:rPr>
        <w:t> </w:t>
      </w:r>
      <w:r>
        <w:rPr>
          <w:sz w:val="22"/>
          <w:szCs w:val="22"/>
        </w:rPr>
        <w:t>َ</w:t>
      </w:r>
      <w:r>
        <w:rPr>
          <w:spacing w:val="-2"/>
          <w:w w:val="43"/>
          <w:sz w:val="22"/>
          <w:szCs w:val="22"/>
        </w:rPr>
        <w:t>خ</w:t>
      </w:r>
      <w:r>
        <w:rPr>
          <w:spacing w:val="1"/>
          <w:w w:val="48"/>
          <w:sz w:val="22"/>
          <w:szCs w:val="22"/>
        </w:rPr>
        <w:t>ؼ</w:t>
      </w:r>
      <w:r>
        <w:rPr>
          <w:spacing w:val="-2"/>
          <w:w w:val="91"/>
          <w:sz w:val="22"/>
          <w:szCs w:val="22"/>
        </w:rPr>
        <w:t>ه</w:t>
      </w:r>
      <w:r>
        <w:rPr>
          <w:w w:val="91"/>
          <w:sz w:val="22"/>
          <w:szCs w:val="22"/>
        </w:rPr>
        <w:t>ق</w:t>
      </w:r>
      <w:r>
        <w:rPr>
          <w:spacing w:val="-1"/>
          <w:sz w:val="22"/>
          <w:szCs w:val="22"/>
        </w:rPr>
        <w:t> </w:t>
      </w:r>
      <w:r>
        <w:rPr>
          <w:w w:val="34"/>
          <w:sz w:val="22"/>
          <w:szCs w:val="22"/>
        </w:rPr>
        <w:t>ب</w:t>
      </w:r>
      <w:r>
        <w:rPr>
          <w:spacing w:val="1"/>
          <w:w w:val="32"/>
          <w:sz w:val="22"/>
          <w:szCs w:val="22"/>
        </w:rPr>
        <w:t>ب</w:t>
      </w:r>
      <w:r>
        <w:rPr>
          <w:spacing w:val="-2"/>
          <w:w w:val="39"/>
          <w:sz w:val="22"/>
          <w:szCs w:val="22"/>
        </w:rPr>
        <w:t>ن</w:t>
      </w:r>
      <w:r>
        <w:rPr>
          <w:spacing w:val="-2"/>
          <w:sz w:val="22"/>
          <w:szCs w:val="22"/>
        </w:rPr>
        <w:t>ُ</w:t>
      </w:r>
      <w:r>
        <w:rPr>
          <w:spacing w:val="1"/>
          <w:w w:val="66"/>
          <w:sz w:val="22"/>
          <w:szCs w:val="22"/>
        </w:rPr>
        <w:t>ى</w:t>
      </w:r>
      <w:r>
        <w:rPr>
          <w:w w:val="66"/>
          <w:sz w:val="22"/>
          <w:szCs w:val="22"/>
        </w:rPr>
        <w:t>ػ</w:t>
      </w:r>
      <w:r>
        <w:rPr>
          <w:spacing w:val="-2"/>
          <w:sz w:val="22"/>
          <w:szCs w:val="22"/>
        </w:rPr>
        <w:t>ُ</w:t>
      </w:r>
      <w:r>
        <w:rPr>
          <w:spacing w:val="1"/>
          <w:w w:val="52"/>
          <w:sz w:val="22"/>
          <w:szCs w:val="22"/>
        </w:rPr>
        <w:t>ت</w:t>
      </w:r>
      <w:r>
        <w:rPr>
          <w:spacing w:val="-1"/>
          <w:sz w:val="22"/>
          <w:szCs w:val="22"/>
        </w:rPr>
        <w:t> </w:t>
      </w:r>
      <w:r>
        <w:rPr>
          <w:sz w:val="22"/>
          <w:szCs w:val="22"/>
        </w:rPr>
        <w:t>ا</w:t>
      </w:r>
      <w:r>
        <w:rPr>
          <w:spacing w:val="-2"/>
          <w:w w:val="39"/>
          <w:sz w:val="22"/>
          <w:szCs w:val="22"/>
        </w:rPr>
        <w:t>ن</w:t>
      </w:r>
      <w:r>
        <w:rPr>
          <w:spacing w:val="-2"/>
          <w:w w:val="34"/>
          <w:sz w:val="22"/>
          <w:szCs w:val="22"/>
        </w:rPr>
        <w:t>ب</w:t>
      </w:r>
      <w:r>
        <w:rPr>
          <w:spacing w:val="1"/>
          <w:w w:val="65"/>
          <w:sz w:val="22"/>
          <w:szCs w:val="22"/>
        </w:rPr>
        <w:t>ك</w:t>
      </w:r>
      <w:r>
        <w:rPr>
          <w:spacing w:val="-2"/>
          <w:w w:val="43"/>
          <w:sz w:val="22"/>
          <w:szCs w:val="22"/>
        </w:rPr>
        <w:t>خ</w:t>
      </w:r>
      <w:r>
        <w:rPr>
          <w:spacing w:val="-2"/>
          <w:w w:val="59"/>
          <w:sz w:val="22"/>
          <w:szCs w:val="22"/>
        </w:rPr>
        <w:t>ُ</w:t>
      </w:r>
      <w:r>
        <w:rPr>
          <w:w w:val="59"/>
          <w:sz w:val="22"/>
          <w:szCs w:val="22"/>
        </w:rPr>
        <w:t>ش</w:t>
      </w:r>
      <w:r>
        <w:rPr>
          <w:spacing w:val="-2"/>
          <w:sz w:val="22"/>
          <w:szCs w:val="22"/>
        </w:rPr>
        <w:t>َ</w:t>
      </w:r>
      <w:r>
        <w:rPr>
          <w:w w:val="67"/>
          <w:sz w:val="22"/>
          <w:szCs w:val="22"/>
        </w:rPr>
        <w:t>ى</w:t>
      </w:r>
      <w:r>
        <w:rPr>
          <w:spacing w:val="-2"/>
          <w:w w:val="67"/>
          <w:sz w:val="22"/>
          <w:szCs w:val="22"/>
        </w:rPr>
        <w:t>ن</w:t>
      </w:r>
      <w:r>
        <w:rPr>
          <w:w w:val="67"/>
          <w:sz w:val="22"/>
          <w:szCs w:val="22"/>
        </w:rPr>
        <w:t>ىج</w:t>
      </w:r>
      <w:r>
        <w:rPr>
          <w:spacing w:val="-2"/>
          <w:sz w:val="22"/>
          <w:szCs w:val="22"/>
        </w:rPr>
        <w:t>ُ</w:t>
      </w:r>
      <w:r>
        <w:rPr>
          <w:spacing w:val="1"/>
          <w:w w:val="52"/>
          <w:sz w:val="22"/>
          <w:szCs w:val="22"/>
        </w:rPr>
        <w:t>ت</w:t>
      </w:r>
      <w:r>
        <w:rPr>
          <w:sz w:val="22"/>
          <w:szCs w:val="22"/>
        </w:rPr>
        <w:t> </w:t>
      </w:r>
      <w:r>
        <w:rPr>
          <w:sz w:val="22"/>
          <w:szCs w:val="22"/>
        </w:rPr>
        <w:t>:</w:t>
      </w:r>
      <w:r>
        <w:rPr>
          <w:spacing w:val="2"/>
          <w:sz w:val="22"/>
          <w:szCs w:val="22"/>
        </w:rPr>
        <w:t> </w:t>
      </w:r>
      <w:r>
        <w:rPr>
          <w:w w:val="64"/>
          <w:sz w:val="22"/>
          <w:szCs w:val="22"/>
        </w:rPr>
        <w:t>ػ</w:t>
      </w:r>
      <w:r>
        <w:rPr>
          <w:spacing w:val="-2"/>
          <w:sz w:val="22"/>
          <w:szCs w:val="22"/>
        </w:rPr>
        <w:t>ُ</w:t>
      </w:r>
      <w:r>
        <w:rPr>
          <w:sz w:val="22"/>
          <w:szCs w:val="22"/>
        </w:rPr>
        <w:t>ٍ</w:t>
      </w:r>
      <w:r>
        <w:rPr>
          <w:spacing w:val="-1"/>
          <w:sz w:val="22"/>
          <w:szCs w:val="22"/>
        </w:rPr>
        <w:t> </w:t>
      </w:r>
      <w:r>
        <w:rPr>
          <w:w w:val="34"/>
          <w:sz w:val="22"/>
          <w:szCs w:val="22"/>
        </w:rPr>
        <w:t>ب</w:t>
      </w:r>
      <w:r>
        <w:rPr>
          <w:spacing w:val="-2"/>
          <w:sz w:val="22"/>
          <w:szCs w:val="22"/>
        </w:rPr>
        <w:t>ٍُ</w:t>
      </w:r>
      <w:r>
        <w:rPr>
          <w:spacing w:val="1"/>
          <w:sz w:val="22"/>
          <w:szCs w:val="22"/>
        </w:rPr>
        <w:t> </w:t>
      </w:r>
      <w:r>
        <w:rPr>
          <w:w w:val="46"/>
          <w:sz w:val="22"/>
          <w:szCs w:val="22"/>
        </w:rPr>
        <w:t>ق</w:t>
      </w:r>
      <w:r>
        <w:rPr>
          <w:spacing w:val="-2"/>
          <w:sz w:val="22"/>
          <w:szCs w:val="22"/>
        </w:rPr>
        <w:t>ُ</w:t>
      </w:r>
      <w:r>
        <w:rPr>
          <w:spacing w:val="1"/>
          <w:sz w:val="22"/>
          <w:szCs w:val="22"/>
        </w:rPr>
        <w:t>ً</w:t>
      </w:r>
      <w:r>
        <w:rPr>
          <w:spacing w:val="1"/>
          <w:w w:val="32"/>
          <w:sz w:val="22"/>
          <w:szCs w:val="22"/>
        </w:rPr>
        <w:t>ب</w:t>
      </w:r>
      <w:r>
        <w:rPr>
          <w:w w:val="32"/>
          <w:sz w:val="22"/>
          <w:szCs w:val="22"/>
        </w:rPr>
        <w:t>ٌ</w:t>
      </w:r>
      <w:r>
        <w:rPr>
          <w:spacing w:val="1"/>
          <w:sz w:val="22"/>
          <w:szCs w:val="22"/>
        </w:rPr>
        <w:t> </w:t>
      </w:r>
      <w:r>
        <w:rPr>
          <w:sz w:val="22"/>
          <w:szCs w:val="22"/>
        </w:rPr>
        <w:t>و</w:t>
      </w:r>
      <w:r>
        <w:rPr>
          <w:spacing w:val="1"/>
          <w:sz w:val="22"/>
          <w:szCs w:val="22"/>
        </w:rPr>
        <w:t> </w:t>
      </w:r>
      <w:r>
        <w:rPr>
          <w:w w:val="64"/>
          <w:sz w:val="22"/>
          <w:szCs w:val="22"/>
        </w:rPr>
        <w:t>ػ</w:t>
      </w:r>
      <w:r>
        <w:rPr>
          <w:spacing w:val="-2"/>
          <w:sz w:val="22"/>
          <w:szCs w:val="22"/>
        </w:rPr>
        <w:t>ُ</w:t>
      </w:r>
      <w:r>
        <w:rPr>
          <w:sz w:val="22"/>
          <w:szCs w:val="22"/>
        </w:rPr>
        <w:t>ٍ</w:t>
      </w:r>
      <w:r>
        <w:rPr>
          <w:spacing w:val="3"/>
          <w:sz w:val="22"/>
          <w:szCs w:val="22"/>
        </w:rPr>
        <w:t> </w:t>
      </w:r>
      <w:r>
        <w:rPr>
          <w:sz w:val="22"/>
          <w:szCs w:val="22"/>
        </w:rPr>
        <w:t>أ</w:t>
      </w:r>
      <w:r>
        <w:rPr>
          <w:spacing w:val="3"/>
          <w:w w:val="64"/>
          <w:sz w:val="22"/>
          <w:szCs w:val="22"/>
        </w:rPr>
        <w:t>س</w:t>
      </w:r>
      <w:r>
        <w:rPr>
          <w:spacing w:val="1"/>
          <w:w w:val="65"/>
          <w:sz w:val="22"/>
          <w:szCs w:val="22"/>
        </w:rPr>
        <w:t>ك</w:t>
      </w:r>
      <w:r>
        <w:rPr>
          <w:spacing w:val="1"/>
          <w:w w:val="63"/>
          <w:sz w:val="22"/>
          <w:szCs w:val="22"/>
        </w:rPr>
        <w:t>ى</w:t>
      </w:r>
      <w:r>
        <w:rPr>
          <w:w w:val="63"/>
          <w:sz w:val="22"/>
          <w:szCs w:val="22"/>
        </w:rPr>
        <w:t>س</w:t>
      </w:r>
      <w:r>
        <w:rPr>
          <w:spacing w:val="-1"/>
          <w:sz w:val="22"/>
          <w:szCs w:val="22"/>
        </w:rPr>
        <w:t> </w:t>
      </w:r>
      <w:r>
        <w:rPr>
          <w:w w:val="72"/>
          <w:sz w:val="22"/>
          <w:szCs w:val="22"/>
        </w:rPr>
        <w:t>حظ</w:t>
      </w:r>
      <w:r>
        <w:rPr>
          <w:spacing w:val="1"/>
          <w:w w:val="80"/>
          <w:sz w:val="22"/>
          <w:szCs w:val="22"/>
        </w:rPr>
        <w:t>ه</w:t>
      </w:r>
      <w:r>
        <w:rPr>
          <w:w w:val="80"/>
          <w:sz w:val="22"/>
          <w:szCs w:val="22"/>
        </w:rPr>
        <w:t>ش</w:t>
      </w:r>
      <w:r>
        <w:rPr>
          <w:spacing w:val="-2"/>
          <w:sz w:val="22"/>
          <w:szCs w:val="22"/>
        </w:rPr>
        <w:t>ا</w:t>
      </w:r>
      <w:r>
        <w:rPr>
          <w:sz w:val="22"/>
          <w:szCs w:val="22"/>
        </w:rPr>
        <w:t>ٌ</w:t>
      </w:r>
      <w:r>
        <w:rPr>
          <w:spacing w:val="-1"/>
          <w:sz w:val="22"/>
          <w:szCs w:val="22"/>
        </w:rPr>
        <w:t> </w:t>
      </w:r>
      <w:r>
        <w:rPr>
          <w:sz w:val="22"/>
          <w:szCs w:val="22"/>
        </w:rPr>
        <w:t>َ</w:t>
      </w:r>
      <w:r>
        <w:rPr>
          <w:spacing w:val="1"/>
          <w:w w:val="66"/>
          <w:sz w:val="22"/>
          <w:szCs w:val="22"/>
        </w:rPr>
        <w:t>ى</w:t>
      </w:r>
      <w:r>
        <w:rPr>
          <w:w w:val="66"/>
          <w:sz w:val="22"/>
          <w:szCs w:val="22"/>
        </w:rPr>
        <w:t>ػ</w:t>
      </w:r>
      <w:r>
        <w:rPr>
          <w:spacing w:val="-2"/>
          <w:sz w:val="22"/>
          <w:szCs w:val="22"/>
        </w:rPr>
        <w:t>ُ</w:t>
      </w:r>
      <w:r>
        <w:rPr>
          <w:spacing w:val="1"/>
          <w:w w:val="52"/>
          <w:sz w:val="22"/>
          <w:szCs w:val="22"/>
        </w:rPr>
        <w:t>ت</w:t>
      </w:r>
      <w:r>
        <w:rPr>
          <w:spacing w:val="-1"/>
          <w:sz w:val="22"/>
          <w:szCs w:val="22"/>
        </w:rPr>
        <w:t> </w:t>
      </w:r>
      <w:r>
        <w:rPr>
          <w:w w:val="34"/>
          <w:sz w:val="22"/>
          <w:szCs w:val="22"/>
        </w:rPr>
        <w:t>ب</w:t>
      </w:r>
      <w:r>
        <w:rPr>
          <w:spacing w:val="1"/>
          <w:w w:val="65"/>
          <w:sz w:val="22"/>
          <w:szCs w:val="22"/>
        </w:rPr>
        <w:t>ك</w:t>
      </w:r>
      <w:r>
        <w:rPr>
          <w:spacing w:val="-2"/>
          <w:w w:val="43"/>
          <w:sz w:val="22"/>
          <w:szCs w:val="22"/>
        </w:rPr>
        <w:t>خ</w:t>
      </w:r>
      <w:r>
        <w:rPr>
          <w:spacing w:val="-2"/>
          <w:w w:val="59"/>
          <w:sz w:val="22"/>
          <w:szCs w:val="22"/>
        </w:rPr>
        <w:t>ُ</w:t>
      </w:r>
      <w:r>
        <w:rPr>
          <w:w w:val="59"/>
          <w:sz w:val="22"/>
          <w:szCs w:val="22"/>
        </w:rPr>
        <w:t>ش</w:t>
      </w:r>
      <w:r>
        <w:rPr>
          <w:spacing w:val="-2"/>
          <w:sz w:val="22"/>
          <w:szCs w:val="22"/>
        </w:rPr>
        <w:t>َ</w:t>
      </w:r>
      <w:r>
        <w:rPr>
          <w:w w:val="67"/>
          <w:sz w:val="22"/>
          <w:szCs w:val="22"/>
        </w:rPr>
        <w:t>ى</w:t>
      </w:r>
      <w:r>
        <w:rPr>
          <w:spacing w:val="-2"/>
          <w:w w:val="67"/>
          <w:sz w:val="22"/>
          <w:szCs w:val="22"/>
        </w:rPr>
        <w:t>ن</w:t>
      </w:r>
      <w:r>
        <w:rPr>
          <w:w w:val="67"/>
          <w:sz w:val="22"/>
          <w:szCs w:val="22"/>
        </w:rPr>
        <w:t>ىج</w:t>
      </w:r>
      <w:r>
        <w:rPr>
          <w:spacing w:val="1"/>
          <w:w w:val="52"/>
          <w:sz w:val="22"/>
          <w:szCs w:val="22"/>
        </w:rPr>
        <w:t>ت</w:t>
      </w:r>
      <w:r>
        <w:rPr>
          <w:spacing w:val="1"/>
          <w:sz w:val="22"/>
          <w:szCs w:val="22"/>
        </w:rPr>
        <w:t> </w:t>
      </w:r>
      <w:r>
        <w:rPr>
          <w:w w:val="61"/>
          <w:sz w:val="22"/>
          <w:szCs w:val="22"/>
        </w:rPr>
        <w:t>ي</w:t>
      </w:r>
      <w:r>
        <w:rPr>
          <w:spacing w:val="-2"/>
          <w:w w:val="45"/>
          <w:sz w:val="22"/>
          <w:szCs w:val="22"/>
        </w:rPr>
        <w:t>ق</w:t>
      </w:r>
      <w:r>
        <w:rPr>
          <w:spacing w:val="-2"/>
          <w:w w:val="34"/>
          <w:sz w:val="22"/>
          <w:szCs w:val="22"/>
        </w:rPr>
        <w:t>ب</w:t>
      </w:r>
      <w:r>
        <w:rPr>
          <w:w w:val="67"/>
          <w:sz w:val="22"/>
          <w:szCs w:val="22"/>
        </w:rPr>
        <w:t>ى</w:t>
      </w:r>
      <w:r>
        <w:rPr>
          <w:spacing w:val="-2"/>
          <w:w w:val="39"/>
          <w:sz w:val="22"/>
          <w:szCs w:val="22"/>
        </w:rPr>
        <w:t>ن</w:t>
      </w:r>
      <w:r>
        <w:rPr>
          <w:spacing w:val="1"/>
          <w:w w:val="52"/>
          <w:sz w:val="22"/>
          <w:szCs w:val="22"/>
        </w:rPr>
        <w:t>ت</w:t>
      </w:r>
      <w:r>
        <w:rPr>
          <w:spacing w:val="2"/>
          <w:sz w:val="22"/>
          <w:szCs w:val="22"/>
        </w:rPr>
        <w:t>,</w:t>
      </w:r>
      <w:r>
        <w:rPr>
          <w:spacing w:val="-1"/>
          <w:sz w:val="22"/>
          <w:szCs w:val="22"/>
        </w:rPr>
        <w:t> </w:t>
      </w:r>
      <w:r>
        <w:rPr>
          <w:w w:val="34"/>
          <w:sz w:val="22"/>
          <w:szCs w:val="22"/>
        </w:rPr>
        <w:t>ب</w:t>
      </w:r>
      <w:r>
        <w:rPr>
          <w:spacing w:val="-2"/>
          <w:sz w:val="22"/>
          <w:szCs w:val="22"/>
        </w:rPr>
        <w:t>ُُ</w:t>
      </w:r>
      <w:r>
        <w:rPr>
          <w:spacing w:val="1"/>
          <w:sz w:val="22"/>
          <w:szCs w:val="22"/>
        </w:rPr>
        <w:t>ً</w:t>
      </w:r>
      <w:r>
        <w:rPr>
          <w:spacing w:val="1"/>
          <w:w w:val="32"/>
          <w:sz w:val="22"/>
          <w:szCs w:val="22"/>
        </w:rPr>
        <w:t>ب</w:t>
      </w:r>
      <w:r>
        <w:rPr>
          <w:spacing w:val="3"/>
          <w:sz w:val="22"/>
          <w:szCs w:val="22"/>
        </w:rPr>
        <w:t> </w:t>
      </w:r>
      <w:r>
        <w:rPr>
          <w:sz w:val="22"/>
          <w:szCs w:val="22"/>
        </w:rPr>
        <w:t>أظ</w:t>
      </w:r>
      <w:r>
        <w:rPr>
          <w:spacing w:val="1"/>
          <w:w w:val="80"/>
          <w:sz w:val="22"/>
          <w:szCs w:val="22"/>
        </w:rPr>
        <w:t>ه</w:t>
      </w:r>
      <w:r>
        <w:rPr>
          <w:w w:val="80"/>
          <w:sz w:val="22"/>
          <w:szCs w:val="22"/>
        </w:rPr>
        <w:t>ش</w:t>
      </w:r>
      <w:r>
        <w:rPr>
          <w:spacing w:val="-1"/>
          <w:sz w:val="22"/>
          <w:szCs w:val="22"/>
        </w:rPr>
        <w:t>ث</w:t>
      </w:r>
      <w:r>
        <w:rPr>
          <w:spacing w:val="1"/>
          <w:w w:val="32"/>
          <w:sz w:val="22"/>
          <w:szCs w:val="22"/>
        </w:rPr>
        <w:t> </w:t>
      </w:r>
      <w:r>
        <w:rPr>
          <w:w w:val="76"/>
          <w:sz w:val="22"/>
          <w:szCs w:val="22"/>
        </w:rPr>
        <w:t>                </w:t>
      </w:r>
      <w:r>
        <w:rPr>
          <w:w w:val="61"/>
          <w:sz w:val="22"/>
          <w:szCs w:val="22"/>
        </w:rPr>
        <w:t> ي</w:t>
      </w:r>
      <w:r>
        <w:rPr>
          <w:spacing w:val="-2"/>
          <w:sz w:val="22"/>
          <w:szCs w:val="22"/>
        </w:rPr>
        <w:t>ُ</w:t>
      </w:r>
      <w:r>
        <w:rPr>
          <w:spacing w:val="1"/>
          <w:w w:val="32"/>
          <w:sz w:val="22"/>
          <w:szCs w:val="22"/>
        </w:rPr>
        <w:t>ب</w:t>
      </w:r>
      <w:r>
        <w:rPr>
          <w:spacing w:val="-2"/>
          <w:w w:val="34"/>
          <w:sz w:val="22"/>
          <w:szCs w:val="22"/>
        </w:rPr>
        <w:t>ب</w:t>
      </w:r>
      <w:r>
        <w:rPr>
          <w:w w:val="82"/>
          <w:sz w:val="22"/>
          <w:szCs w:val="22"/>
        </w:rPr>
        <w:t>غ</w:t>
      </w:r>
      <w:r>
        <w:rPr>
          <w:spacing w:val="1"/>
          <w:sz w:val="22"/>
          <w:szCs w:val="22"/>
        </w:rPr>
        <w:t> </w:t>
      </w:r>
      <w:r>
        <w:rPr>
          <w:w w:val="64"/>
          <w:sz w:val="22"/>
          <w:szCs w:val="22"/>
        </w:rPr>
        <w:t>ػ</w:t>
      </w:r>
      <w:r>
        <w:rPr>
          <w:spacing w:val="-2"/>
          <w:sz w:val="22"/>
          <w:szCs w:val="22"/>
        </w:rPr>
        <w:t>ُ</w:t>
      </w:r>
      <w:r>
        <w:rPr>
          <w:sz w:val="22"/>
          <w:szCs w:val="22"/>
        </w:rPr>
        <w:t>ٍ</w:t>
      </w:r>
      <w:r>
        <w:rPr>
          <w:spacing w:val="-1"/>
          <w:sz w:val="22"/>
          <w:szCs w:val="22"/>
        </w:rPr>
        <w:t> </w:t>
      </w:r>
      <w:r>
        <w:rPr>
          <w:w w:val="34"/>
          <w:sz w:val="22"/>
          <w:szCs w:val="22"/>
        </w:rPr>
        <w:t>ب</w:t>
      </w:r>
      <w:r>
        <w:rPr>
          <w:w w:val="67"/>
          <w:sz w:val="22"/>
          <w:szCs w:val="22"/>
        </w:rPr>
        <w:t>ى</w:t>
      </w:r>
      <w:r>
        <w:rPr>
          <w:w w:val="50"/>
          <w:sz w:val="22"/>
          <w:szCs w:val="22"/>
        </w:rPr>
        <w:t>صس</w:t>
      </w:r>
      <w:r>
        <w:rPr>
          <w:spacing w:val="-2"/>
          <w:sz w:val="22"/>
          <w:szCs w:val="22"/>
        </w:rPr>
        <w:t>ا</w:t>
      </w:r>
      <w:r>
        <w:rPr>
          <w:w w:val="33"/>
          <w:sz w:val="22"/>
          <w:szCs w:val="22"/>
        </w:rPr>
        <w:t>ف</w:t>
      </w:r>
      <w:r>
        <w:rPr>
          <w:spacing w:val="1"/>
          <w:w w:val="52"/>
          <w:sz w:val="22"/>
          <w:szCs w:val="22"/>
        </w:rPr>
        <w:t>ت</w:t>
      </w:r>
      <w:r>
        <w:rPr>
          <w:spacing w:val="2"/>
          <w:sz w:val="22"/>
          <w:szCs w:val="22"/>
        </w:rPr>
        <w:t>,</w:t>
      </w:r>
      <w:r>
        <w:rPr>
          <w:spacing w:val="2"/>
          <w:sz w:val="22"/>
          <w:szCs w:val="22"/>
        </w:rPr>
        <w:t> </w:t>
      </w:r>
      <w:r>
        <w:rPr>
          <w:w w:val="64"/>
          <w:sz w:val="22"/>
          <w:szCs w:val="22"/>
        </w:rPr>
        <w:t>ػ</w:t>
      </w:r>
      <w:r>
        <w:rPr>
          <w:spacing w:val="-2"/>
          <w:sz w:val="22"/>
          <w:szCs w:val="22"/>
        </w:rPr>
        <w:t>ُ</w:t>
      </w:r>
      <w:r>
        <w:rPr>
          <w:sz w:val="22"/>
          <w:szCs w:val="22"/>
        </w:rPr>
        <w:t>ٍ</w:t>
      </w:r>
      <w:r>
        <w:rPr>
          <w:spacing w:val="-1"/>
          <w:sz w:val="22"/>
          <w:szCs w:val="22"/>
        </w:rPr>
        <w:t> </w:t>
      </w:r>
      <w:r>
        <w:rPr>
          <w:w w:val="34"/>
          <w:sz w:val="22"/>
          <w:szCs w:val="22"/>
        </w:rPr>
        <w:t>ب</w:t>
      </w:r>
      <w:r>
        <w:rPr>
          <w:spacing w:val="1"/>
          <w:w w:val="82"/>
          <w:sz w:val="22"/>
          <w:szCs w:val="22"/>
        </w:rPr>
        <w:t>ى</w:t>
      </w:r>
      <w:r>
        <w:rPr>
          <w:w w:val="82"/>
          <w:sz w:val="22"/>
          <w:szCs w:val="22"/>
        </w:rPr>
        <w:t>ع</w:t>
      </w:r>
      <w:r>
        <w:rPr>
          <w:spacing w:val="1"/>
          <w:sz w:val="22"/>
          <w:szCs w:val="22"/>
        </w:rPr>
        <w:t> </w:t>
      </w:r>
      <w:r>
        <w:rPr>
          <w:w w:val="85"/>
          <w:sz w:val="22"/>
          <w:szCs w:val="22"/>
        </w:rPr>
        <w:t>وال</w:t>
      </w:r>
      <w:r>
        <w:rPr>
          <w:spacing w:val="1"/>
          <w:sz w:val="22"/>
          <w:szCs w:val="22"/>
        </w:rPr>
        <w:t>د</w:t>
      </w:r>
      <w:r>
        <w:rPr>
          <w:sz w:val="22"/>
          <w:szCs w:val="22"/>
        </w:rPr>
        <w:t> </w:t>
      </w:r>
      <w:r>
        <w:rPr>
          <w:w w:val="64"/>
          <w:sz w:val="22"/>
          <w:szCs w:val="22"/>
        </w:rPr>
        <w:t>ش</w:t>
      </w:r>
      <w:r>
        <w:rPr>
          <w:spacing w:val="-3"/>
          <w:w w:val="94"/>
          <w:sz w:val="22"/>
          <w:szCs w:val="22"/>
        </w:rPr>
        <w:t>ُ</w:t>
      </w:r>
      <w:r>
        <w:rPr>
          <w:w w:val="94"/>
          <w:sz w:val="22"/>
          <w:szCs w:val="22"/>
        </w:rPr>
        <w:t>ح</w:t>
      </w:r>
      <w:r>
        <w:rPr>
          <w:spacing w:val="1"/>
          <w:w w:val="52"/>
          <w:sz w:val="22"/>
          <w:szCs w:val="22"/>
        </w:rPr>
        <w:t>ت</w:t>
      </w:r>
      <w:r>
        <w:rPr>
          <w:spacing w:val="1"/>
          <w:sz w:val="22"/>
          <w:szCs w:val="22"/>
        </w:rPr>
        <w:t> </w:t>
      </w:r>
      <w:r>
        <w:rPr>
          <w:sz w:val="22"/>
          <w:szCs w:val="22"/>
        </w:rPr>
        <w:t>و</w:t>
      </w:r>
      <w:r>
        <w:rPr>
          <w:spacing w:val="1"/>
          <w:sz w:val="22"/>
          <w:szCs w:val="22"/>
        </w:rPr>
        <w:t> </w:t>
      </w:r>
      <w:r>
        <w:rPr>
          <w:w w:val="64"/>
          <w:sz w:val="22"/>
          <w:szCs w:val="22"/>
        </w:rPr>
        <w:t>ػ</w:t>
      </w:r>
      <w:r>
        <w:rPr>
          <w:spacing w:val="-2"/>
          <w:sz w:val="22"/>
          <w:szCs w:val="22"/>
        </w:rPr>
        <w:t>ُ</w:t>
      </w:r>
      <w:r>
        <w:rPr>
          <w:sz w:val="22"/>
          <w:szCs w:val="22"/>
        </w:rPr>
        <w:t>ٍ</w:t>
      </w:r>
      <w:r>
        <w:rPr>
          <w:spacing w:val="1"/>
          <w:sz w:val="22"/>
          <w:szCs w:val="22"/>
        </w:rPr>
        <w:t> </w:t>
      </w:r>
      <w:r>
        <w:rPr>
          <w:w w:val="73"/>
          <w:sz w:val="22"/>
          <w:szCs w:val="22"/>
        </w:rPr>
        <w:t>قط</w:t>
      </w:r>
      <w:r>
        <w:rPr>
          <w:spacing w:val="1"/>
          <w:w w:val="46"/>
          <w:sz w:val="22"/>
          <w:szCs w:val="22"/>
        </w:rPr>
        <w:t>ب</w:t>
      </w:r>
      <w:r>
        <w:rPr>
          <w:w w:val="46"/>
          <w:sz w:val="22"/>
          <w:szCs w:val="22"/>
        </w:rPr>
        <w:t>س</w:t>
      </w:r>
      <w:r>
        <w:rPr>
          <w:spacing w:val="1"/>
          <w:sz w:val="22"/>
          <w:szCs w:val="22"/>
        </w:rPr>
        <w:t>ة</w:t>
      </w:r>
      <w:r>
        <w:rPr>
          <w:spacing w:val="-16"/>
          <w:sz w:val="22"/>
          <w:szCs w:val="22"/>
        </w:rPr>
        <w:t> </w:t>
      </w:r>
      <w:r>
        <w:rPr>
          <w:sz w:val="22"/>
          <w:szCs w:val="22"/>
        </w:rPr>
        <w:t> أ</w:t>
      </w:r>
      <w:r>
        <w:rPr>
          <w:spacing w:val="8"/>
          <w:sz w:val="22"/>
          <w:szCs w:val="22"/>
        </w:rPr>
        <w:t>َ</w:t>
      </w:r>
      <w:r>
        <w:rPr>
          <w:spacing w:val="-147"/>
          <w:w w:val="252"/>
          <w:sz w:val="22"/>
          <w:szCs w:val="22"/>
        </w:rPr>
        <w:t>ة</w:t>
      </w:r>
      <w:r>
        <w:rPr>
          <w:spacing w:val="-9"/>
          <w:w w:val="139"/>
          <w:sz w:val="22"/>
          <w:szCs w:val="22"/>
        </w:rPr>
        <w:t>ه</w:t>
      </w:r>
      <w:r>
        <w:rPr>
          <w:spacing w:val="1"/>
          <w:w w:val="32"/>
          <w:sz w:val="22"/>
          <w:szCs w:val="22"/>
        </w:rPr>
        <w:t>ب</w:t>
      </w:r>
      <w:r>
        <w:rPr>
          <w:spacing w:val="1"/>
          <w:sz w:val="22"/>
          <w:szCs w:val="22"/>
        </w:rPr>
        <w:t> </w:t>
      </w:r>
      <w:r>
        <w:rPr>
          <w:w w:val="61"/>
          <w:sz w:val="22"/>
          <w:szCs w:val="22"/>
        </w:rPr>
        <w:t>ي</w:t>
      </w:r>
      <w:r>
        <w:rPr>
          <w:spacing w:val="-2"/>
          <w:w w:val="73"/>
          <w:sz w:val="22"/>
          <w:szCs w:val="22"/>
        </w:rPr>
        <w:t>ه</w:t>
      </w:r>
      <w:r>
        <w:rPr>
          <w:w w:val="67"/>
          <w:sz w:val="22"/>
          <w:szCs w:val="22"/>
        </w:rPr>
        <w:t>ى</w:t>
      </w:r>
      <w:r>
        <w:rPr>
          <w:spacing w:val="-2"/>
          <w:w w:val="34"/>
          <w:sz w:val="22"/>
          <w:szCs w:val="22"/>
        </w:rPr>
        <w:t>ث</w:t>
      </w:r>
      <w:r>
        <w:rPr>
          <w:spacing w:val="1"/>
          <w:w w:val="52"/>
          <w:sz w:val="22"/>
          <w:szCs w:val="22"/>
        </w:rPr>
        <w:t>ت</w:t>
      </w:r>
      <w:r>
        <w:rPr>
          <w:spacing w:val="-1"/>
          <w:sz w:val="22"/>
          <w:szCs w:val="22"/>
        </w:rPr>
        <w:t> </w:t>
      </w:r>
      <w:r>
        <w:rPr>
          <w:sz w:val="22"/>
          <w:szCs w:val="22"/>
        </w:rPr>
        <w:t>(</w:t>
      </w:r>
      <w:r>
        <w:rPr>
          <w:spacing w:val="5"/>
          <w:w w:val="96"/>
          <w:sz w:val="22"/>
          <w:szCs w:val="22"/>
        </w:rPr>
        <w:t>و</w:t>
      </w:r>
      <w:r>
        <w:rPr>
          <w:w w:val="96"/>
          <w:sz w:val="22"/>
          <w:szCs w:val="22"/>
        </w:rPr>
        <w:t>ج</w:t>
      </w:r>
      <w:r>
        <w:rPr>
          <w:w w:val="67"/>
          <w:sz w:val="22"/>
          <w:szCs w:val="22"/>
        </w:rPr>
        <w:t>ى</w:t>
      </w:r>
      <w:r>
        <w:rPr>
          <w:spacing w:val="1"/>
          <w:sz w:val="22"/>
          <w:szCs w:val="22"/>
        </w:rPr>
        <w:t>د </w:t>
      </w:r>
      <w:r>
        <w:rPr>
          <w:w w:val="64"/>
          <w:sz w:val="22"/>
          <w:szCs w:val="22"/>
        </w:rPr>
        <w:t>ػ</w:t>
      </w:r>
      <w:r>
        <w:rPr>
          <w:spacing w:val="1"/>
          <w:sz w:val="22"/>
          <w:szCs w:val="22"/>
        </w:rPr>
        <w:t>ذة </w:t>
      </w:r>
      <w:r>
        <w:rPr>
          <w:w w:val="61"/>
          <w:sz w:val="22"/>
          <w:szCs w:val="22"/>
        </w:rPr>
        <w:t>ي</w:t>
      </w:r>
      <w:r>
        <w:rPr>
          <w:spacing w:val="-1"/>
          <w:w w:val="64"/>
          <w:sz w:val="22"/>
          <w:szCs w:val="22"/>
        </w:rPr>
        <w:t>س</w:t>
      </w:r>
      <w:r>
        <w:rPr>
          <w:spacing w:val="-2"/>
          <w:w w:val="43"/>
          <w:sz w:val="22"/>
          <w:szCs w:val="22"/>
        </w:rPr>
        <w:t>خ</w:t>
      </w:r>
      <w:r>
        <w:rPr>
          <w:spacing w:val="1"/>
          <w:w w:val="48"/>
          <w:sz w:val="22"/>
          <w:szCs w:val="22"/>
        </w:rPr>
        <w:t>ؼ</w:t>
      </w:r>
      <w:r>
        <w:rPr>
          <w:spacing w:val="1"/>
          <w:w w:val="59"/>
          <w:sz w:val="22"/>
          <w:szCs w:val="22"/>
        </w:rPr>
        <w:t>ً</w:t>
      </w:r>
      <w:r>
        <w:rPr>
          <w:w w:val="59"/>
          <w:sz w:val="22"/>
          <w:szCs w:val="22"/>
        </w:rPr>
        <w:t>ش</w:t>
      </w:r>
      <w:r>
        <w:rPr>
          <w:spacing w:val="-2"/>
          <w:sz w:val="22"/>
          <w:szCs w:val="22"/>
        </w:rPr>
        <w:t>ا</w:t>
      </w:r>
      <w:r>
        <w:rPr>
          <w:spacing w:val="-1"/>
          <w:sz w:val="22"/>
          <w:szCs w:val="22"/>
        </w:rPr>
        <w:t>ث </w:t>
      </w:r>
      <w:r>
        <w:rPr>
          <w:w w:val="34"/>
          <w:sz w:val="22"/>
          <w:szCs w:val="22"/>
        </w:rPr>
        <w:t>ب</w:t>
      </w:r>
      <w:r>
        <w:rPr>
          <w:spacing w:val="1"/>
          <w:w w:val="65"/>
          <w:sz w:val="22"/>
          <w:szCs w:val="22"/>
        </w:rPr>
        <w:t>ك</w:t>
      </w:r>
      <w:r>
        <w:rPr>
          <w:spacing w:val="-2"/>
          <w:w w:val="43"/>
          <w:sz w:val="22"/>
          <w:szCs w:val="22"/>
        </w:rPr>
        <w:t>خ</w:t>
      </w:r>
      <w:r>
        <w:rPr>
          <w:spacing w:val="-2"/>
          <w:w w:val="59"/>
          <w:sz w:val="22"/>
          <w:szCs w:val="22"/>
        </w:rPr>
        <w:t>ُ</w:t>
      </w:r>
      <w:r>
        <w:rPr>
          <w:w w:val="59"/>
          <w:sz w:val="22"/>
          <w:szCs w:val="22"/>
        </w:rPr>
        <w:t>ش</w:t>
      </w:r>
      <w:r>
        <w:rPr>
          <w:spacing w:val="-2"/>
          <w:sz w:val="22"/>
          <w:szCs w:val="22"/>
        </w:rPr>
        <w:t>َ</w:t>
      </w:r>
      <w:r>
        <w:rPr>
          <w:spacing w:val="1"/>
          <w:w w:val="32"/>
          <w:sz w:val="22"/>
          <w:szCs w:val="22"/>
        </w:rPr>
        <w:t>ب</w:t>
      </w:r>
      <w:r>
        <w:rPr>
          <w:spacing w:val="-1"/>
          <w:sz w:val="22"/>
          <w:szCs w:val="22"/>
        </w:rPr>
        <w:t> </w:t>
      </w:r>
      <w:r>
        <w:rPr>
          <w:sz w:val="22"/>
          <w:szCs w:val="22"/>
        </w:rPr>
        <w:t>ا</w:t>
      </w:r>
      <w:r>
        <w:rPr>
          <w:spacing w:val="-2"/>
          <w:w w:val="39"/>
          <w:sz w:val="22"/>
          <w:szCs w:val="22"/>
        </w:rPr>
        <w:t>ن</w:t>
      </w:r>
      <w:r>
        <w:rPr>
          <w:spacing w:val="-2"/>
          <w:w w:val="45"/>
          <w:sz w:val="22"/>
          <w:szCs w:val="22"/>
        </w:rPr>
        <w:t>ق</w:t>
      </w:r>
      <w:r>
        <w:rPr>
          <w:w w:val="67"/>
          <w:sz w:val="22"/>
          <w:szCs w:val="22"/>
        </w:rPr>
        <w:t>ى</w:t>
      </w:r>
      <w:r>
        <w:rPr>
          <w:spacing w:val="-2"/>
          <w:w w:val="39"/>
          <w:sz w:val="22"/>
          <w:szCs w:val="22"/>
        </w:rPr>
        <w:t>ن</w:t>
      </w:r>
      <w:r>
        <w:rPr>
          <w:spacing w:val="1"/>
          <w:w w:val="67"/>
          <w:sz w:val="22"/>
          <w:szCs w:val="22"/>
        </w:rPr>
        <w:t>ى</w:t>
      </w:r>
      <w:r>
        <w:rPr>
          <w:w w:val="67"/>
          <w:sz w:val="22"/>
          <w:szCs w:val="22"/>
        </w:rPr>
        <w:t>ٌ</w:t>
      </w:r>
      <w:r>
        <w:rPr>
          <w:spacing w:val="-1"/>
          <w:sz w:val="22"/>
          <w:szCs w:val="22"/>
        </w:rPr>
        <w:t> </w:t>
      </w:r>
      <w:r>
        <w:rPr>
          <w:sz w:val="22"/>
          <w:szCs w:val="22"/>
        </w:rPr>
        <w:t>ا</w:t>
      </w:r>
      <w:r>
        <w:rPr>
          <w:spacing w:val="-2"/>
          <w:w w:val="39"/>
          <w:sz w:val="22"/>
          <w:szCs w:val="22"/>
        </w:rPr>
        <w:t>ن</w:t>
      </w:r>
      <w:r>
        <w:rPr>
          <w:spacing w:val="-2"/>
          <w:w w:val="47"/>
          <w:sz w:val="22"/>
          <w:szCs w:val="22"/>
        </w:rPr>
        <w:t>ب</w:t>
      </w:r>
      <w:r>
        <w:rPr>
          <w:w w:val="47"/>
          <w:sz w:val="22"/>
          <w:szCs w:val="22"/>
        </w:rPr>
        <w:t>ش</w:t>
      </w:r>
      <w:r>
        <w:rPr>
          <w:spacing w:val="-2"/>
          <w:w w:val="53"/>
          <w:sz w:val="22"/>
          <w:szCs w:val="22"/>
        </w:rPr>
        <w:t>ا</w:t>
      </w:r>
      <w:r>
        <w:rPr>
          <w:w w:val="53"/>
          <w:sz w:val="22"/>
          <w:szCs w:val="22"/>
        </w:rPr>
        <w:t>ص</w:t>
      </w:r>
      <w:r>
        <w:rPr>
          <w:spacing w:val="-2"/>
          <w:sz w:val="22"/>
          <w:szCs w:val="22"/>
        </w:rPr>
        <w:t>َ</w:t>
      </w:r>
      <w:r>
        <w:rPr>
          <w:spacing w:val="1"/>
          <w:w w:val="52"/>
          <w:sz w:val="22"/>
          <w:szCs w:val="22"/>
        </w:rPr>
        <w:t>ت</w:t>
      </w:r>
      <w:r>
        <w:rPr>
          <w:spacing w:val="2"/>
          <w:sz w:val="22"/>
          <w:szCs w:val="22"/>
        </w:rPr>
        <w:t>,</w:t>
      </w:r>
      <w:r>
        <w:rPr>
          <w:spacing w:val="-2"/>
          <w:sz w:val="22"/>
          <w:szCs w:val="22"/>
        </w:rPr>
        <w:t>)</w:t>
      </w:r>
      <w:r>
        <w:rPr>
          <w:spacing w:val="-2"/>
          <w:sz w:val="22"/>
          <w:szCs w:val="22"/>
        </w:rPr>
        <w:t> </w:t>
      </w:r>
      <w:r>
        <w:rPr>
          <w:w w:val="34"/>
          <w:sz w:val="22"/>
          <w:szCs w:val="22"/>
        </w:rPr>
        <w:t>ب</w:t>
      </w:r>
      <w:r>
        <w:rPr>
          <w:spacing w:val="-2"/>
          <w:sz w:val="22"/>
          <w:szCs w:val="22"/>
        </w:rPr>
        <w:t>ُُ</w:t>
      </w:r>
      <w:r>
        <w:rPr>
          <w:spacing w:val="1"/>
          <w:sz w:val="22"/>
          <w:szCs w:val="22"/>
        </w:rPr>
        <w:t>ً</w:t>
      </w:r>
      <w:r>
        <w:rPr>
          <w:spacing w:val="1"/>
          <w:w w:val="32"/>
          <w:sz w:val="22"/>
          <w:szCs w:val="22"/>
        </w:rPr>
        <w:t>ب</w:t>
      </w:r>
      <w:r>
        <w:rPr>
          <w:w w:val="76"/>
          <w:sz w:val="22"/>
          <w:szCs w:val="22"/>
        </w:rPr>
        <w:t> </w:t>
      </w:r>
      <w:r>
        <w:rPr>
          <w:w w:val="64"/>
          <w:sz w:val="22"/>
          <w:szCs w:val="22"/>
        </w:rPr>
        <w:t>ػ</w:t>
      </w:r>
      <w:r>
        <w:rPr>
          <w:spacing w:val="-2"/>
          <w:sz w:val="22"/>
          <w:szCs w:val="22"/>
        </w:rPr>
        <w:t>ُ</w:t>
      </w:r>
      <w:r>
        <w:rPr>
          <w:sz w:val="22"/>
          <w:szCs w:val="22"/>
        </w:rPr>
        <w:t>ٍ</w:t>
      </w:r>
      <w:r>
        <w:rPr>
          <w:spacing w:val="-1"/>
          <w:sz w:val="22"/>
          <w:szCs w:val="22"/>
        </w:rPr>
        <w:t> </w:t>
      </w:r>
      <w:r>
        <w:rPr>
          <w:sz w:val="22"/>
          <w:szCs w:val="22"/>
        </w:rPr>
        <w:t>ا</w:t>
      </w:r>
      <w:r>
        <w:rPr>
          <w:spacing w:val="-2"/>
          <w:w w:val="39"/>
          <w:sz w:val="22"/>
          <w:szCs w:val="22"/>
        </w:rPr>
        <w:t>ن</w:t>
      </w:r>
      <w:r>
        <w:rPr>
          <w:spacing w:val="2"/>
          <w:w w:val="71"/>
          <w:sz w:val="22"/>
          <w:szCs w:val="22"/>
        </w:rPr>
        <w:t>ذ</w:t>
      </w:r>
      <w:r>
        <w:rPr>
          <w:w w:val="71"/>
          <w:sz w:val="22"/>
          <w:szCs w:val="22"/>
        </w:rPr>
        <w:t>س</w:t>
      </w:r>
      <w:r>
        <w:rPr>
          <w:spacing w:val="-2"/>
          <w:sz w:val="22"/>
          <w:szCs w:val="22"/>
        </w:rPr>
        <w:t>ا</w:t>
      </w:r>
      <w:r>
        <w:rPr>
          <w:w w:val="159"/>
          <w:sz w:val="22"/>
          <w:szCs w:val="22"/>
        </w:rPr>
        <w:t>ه</w:t>
      </w:r>
      <w:r>
        <w:rPr>
          <w:spacing w:val="1"/>
          <w:w w:val="52"/>
          <w:sz w:val="22"/>
          <w:szCs w:val="22"/>
        </w:rPr>
        <w:t>ى</w:t>
      </w:r>
      <w:r>
        <w:rPr>
          <w:spacing w:val="2"/>
          <w:sz w:val="22"/>
          <w:szCs w:val="22"/>
        </w:rPr>
        <w:t> </w:t>
      </w:r>
      <w:r>
        <w:rPr>
          <w:w w:val="69"/>
          <w:sz w:val="22"/>
          <w:szCs w:val="22"/>
        </w:rPr>
        <w:t>ر</w:t>
      </w:r>
      <w:r>
        <w:rPr>
          <w:spacing w:val="-2"/>
          <w:sz w:val="22"/>
          <w:szCs w:val="22"/>
        </w:rPr>
        <w:t>ا</w:t>
      </w:r>
      <w:r>
        <w:rPr>
          <w:spacing w:val="-1"/>
          <w:sz w:val="22"/>
          <w:szCs w:val="22"/>
        </w:rPr>
        <w:t>ث </w:t>
      </w:r>
      <w:r>
        <w:rPr>
          <w:sz w:val="22"/>
          <w:szCs w:val="22"/>
        </w:rPr>
        <w:t>َ</w:t>
      </w:r>
      <w:r>
        <w:rPr>
          <w:spacing w:val="1"/>
          <w:w w:val="66"/>
          <w:sz w:val="22"/>
          <w:szCs w:val="22"/>
        </w:rPr>
        <w:t>ى</w:t>
      </w:r>
      <w:r>
        <w:rPr>
          <w:w w:val="66"/>
          <w:sz w:val="22"/>
          <w:szCs w:val="22"/>
        </w:rPr>
        <w:t>ػ</w:t>
      </w:r>
      <w:r>
        <w:rPr>
          <w:spacing w:val="-2"/>
          <w:sz w:val="22"/>
          <w:szCs w:val="22"/>
        </w:rPr>
        <w:t>ُ</w:t>
      </w:r>
      <w:r>
        <w:rPr>
          <w:spacing w:val="1"/>
          <w:w w:val="52"/>
          <w:sz w:val="22"/>
          <w:szCs w:val="22"/>
        </w:rPr>
        <w:t>ت</w:t>
      </w:r>
      <w:r>
        <w:rPr>
          <w:spacing w:val="-1"/>
          <w:sz w:val="22"/>
          <w:szCs w:val="22"/>
        </w:rPr>
        <w:t> </w:t>
      </w:r>
      <w:r>
        <w:rPr>
          <w:w w:val="34"/>
          <w:sz w:val="22"/>
          <w:szCs w:val="22"/>
        </w:rPr>
        <w:t>ب</w:t>
      </w:r>
      <w:r>
        <w:rPr>
          <w:spacing w:val="1"/>
          <w:w w:val="65"/>
          <w:sz w:val="22"/>
          <w:szCs w:val="22"/>
        </w:rPr>
        <w:t>ك</w:t>
      </w:r>
      <w:r>
        <w:rPr>
          <w:spacing w:val="-2"/>
          <w:w w:val="43"/>
          <w:sz w:val="22"/>
          <w:szCs w:val="22"/>
        </w:rPr>
        <w:t>خ</w:t>
      </w:r>
      <w:r>
        <w:rPr>
          <w:spacing w:val="-2"/>
          <w:w w:val="59"/>
          <w:sz w:val="22"/>
          <w:szCs w:val="22"/>
        </w:rPr>
        <w:t>ُ</w:t>
      </w:r>
      <w:r>
        <w:rPr>
          <w:w w:val="59"/>
          <w:sz w:val="22"/>
          <w:szCs w:val="22"/>
        </w:rPr>
        <w:t>ش</w:t>
      </w:r>
      <w:r>
        <w:rPr>
          <w:spacing w:val="-2"/>
          <w:sz w:val="22"/>
          <w:szCs w:val="22"/>
        </w:rPr>
        <w:t>َ</w:t>
      </w:r>
      <w:r>
        <w:rPr>
          <w:w w:val="67"/>
          <w:sz w:val="22"/>
          <w:szCs w:val="22"/>
        </w:rPr>
        <w:t>ى</w:t>
      </w:r>
      <w:r>
        <w:rPr>
          <w:spacing w:val="-2"/>
          <w:w w:val="67"/>
          <w:sz w:val="22"/>
          <w:szCs w:val="22"/>
        </w:rPr>
        <w:t>ن</w:t>
      </w:r>
      <w:r>
        <w:rPr>
          <w:w w:val="67"/>
          <w:sz w:val="22"/>
          <w:szCs w:val="22"/>
        </w:rPr>
        <w:t>ىج</w:t>
      </w:r>
      <w:r>
        <w:rPr>
          <w:spacing w:val="-2"/>
          <w:sz w:val="22"/>
          <w:szCs w:val="22"/>
        </w:rPr>
        <w:t>ُ</w:t>
      </w:r>
      <w:r>
        <w:rPr>
          <w:spacing w:val="1"/>
          <w:w w:val="52"/>
          <w:sz w:val="22"/>
          <w:szCs w:val="22"/>
        </w:rPr>
        <w:t>ت</w:t>
      </w:r>
      <w:r>
        <w:rPr>
          <w:spacing w:val="1"/>
          <w:sz w:val="22"/>
          <w:szCs w:val="22"/>
        </w:rPr>
        <w:t> </w:t>
      </w:r>
      <w:r>
        <w:rPr>
          <w:w w:val="59"/>
          <w:sz w:val="22"/>
          <w:szCs w:val="22"/>
        </w:rPr>
        <w:t>س</w:t>
      </w:r>
      <w:r>
        <w:rPr>
          <w:spacing w:val="1"/>
          <w:sz w:val="22"/>
          <w:szCs w:val="22"/>
        </w:rPr>
        <w:t>د</w:t>
      </w:r>
      <w:r>
        <w:rPr>
          <w:spacing w:val="-2"/>
          <w:sz w:val="22"/>
          <w:szCs w:val="22"/>
        </w:rPr>
        <w:t>َ</w:t>
      </w:r>
      <w:r>
        <w:rPr>
          <w:spacing w:val="-2"/>
          <w:w w:val="38"/>
          <w:sz w:val="22"/>
          <w:szCs w:val="22"/>
        </w:rPr>
        <w:t>ئ</w:t>
      </w:r>
      <w:r>
        <w:rPr>
          <w:spacing w:val="1"/>
          <w:w w:val="52"/>
          <w:sz w:val="22"/>
          <w:szCs w:val="22"/>
        </w:rPr>
        <w:t>ت</w:t>
      </w:r>
      <w:r>
        <w:rPr>
          <w:spacing w:val="-1"/>
          <w:sz w:val="22"/>
          <w:szCs w:val="22"/>
        </w:rPr>
        <w:t> </w:t>
      </w:r>
      <w:r>
        <w:rPr>
          <w:sz w:val="22"/>
          <w:szCs w:val="22"/>
        </w:rPr>
        <w:t>(</w:t>
      </w:r>
      <w:r>
        <w:rPr>
          <w:spacing w:val="4"/>
          <w:w w:val="96"/>
          <w:sz w:val="22"/>
          <w:szCs w:val="22"/>
        </w:rPr>
        <w:t>و</w:t>
      </w:r>
      <w:r>
        <w:rPr>
          <w:w w:val="96"/>
          <w:sz w:val="22"/>
          <w:szCs w:val="22"/>
        </w:rPr>
        <w:t>ج</w:t>
      </w:r>
      <w:r>
        <w:rPr>
          <w:w w:val="67"/>
          <w:sz w:val="22"/>
          <w:szCs w:val="22"/>
        </w:rPr>
        <w:t>ى</w:t>
      </w:r>
      <w:r>
        <w:rPr>
          <w:spacing w:val="1"/>
          <w:sz w:val="22"/>
          <w:szCs w:val="22"/>
        </w:rPr>
        <w:t>د </w:t>
      </w:r>
      <w:r>
        <w:rPr>
          <w:w w:val="64"/>
          <w:sz w:val="22"/>
          <w:szCs w:val="22"/>
        </w:rPr>
        <w:t>ػ</w:t>
      </w:r>
      <w:r>
        <w:rPr>
          <w:spacing w:val="1"/>
          <w:sz w:val="22"/>
          <w:szCs w:val="22"/>
        </w:rPr>
        <w:t>ذد</w:t>
      </w:r>
      <w:r>
        <w:rPr>
          <w:spacing w:val="-1"/>
          <w:sz w:val="22"/>
          <w:szCs w:val="22"/>
        </w:rPr>
        <w:t> </w:t>
      </w:r>
      <w:r>
        <w:rPr>
          <w:sz w:val="22"/>
          <w:szCs w:val="22"/>
        </w:rPr>
        <w:t>ا</w:t>
      </w:r>
      <w:r>
        <w:rPr>
          <w:spacing w:val="1"/>
          <w:w w:val="65"/>
          <w:sz w:val="22"/>
          <w:szCs w:val="22"/>
        </w:rPr>
        <w:t>ك</w:t>
      </w:r>
      <w:r>
        <w:rPr>
          <w:spacing w:val="-2"/>
          <w:w w:val="47"/>
          <w:sz w:val="22"/>
          <w:szCs w:val="22"/>
        </w:rPr>
        <w:t>ب</w:t>
      </w:r>
      <w:r>
        <w:rPr>
          <w:w w:val="47"/>
          <w:sz w:val="22"/>
          <w:szCs w:val="22"/>
        </w:rPr>
        <w:t>ش</w:t>
      </w:r>
      <w:r>
        <w:rPr>
          <w:spacing w:val="2"/>
          <w:sz w:val="22"/>
          <w:szCs w:val="22"/>
        </w:rPr>
        <w:t> </w:t>
      </w:r>
      <w:r>
        <w:rPr>
          <w:w w:val="61"/>
          <w:sz w:val="22"/>
          <w:szCs w:val="22"/>
        </w:rPr>
        <w:t>يٍ</w:t>
      </w:r>
      <w:r>
        <w:rPr>
          <w:spacing w:val="1"/>
          <w:sz w:val="22"/>
          <w:szCs w:val="22"/>
        </w:rPr>
        <w:t> </w:t>
      </w:r>
      <w:r>
        <w:rPr>
          <w:w w:val="76"/>
          <w:sz w:val="22"/>
          <w:szCs w:val="22"/>
        </w:rPr>
        <w:t>يج</w:t>
      </w:r>
      <w:r>
        <w:rPr>
          <w:spacing w:val="1"/>
          <w:sz w:val="22"/>
          <w:szCs w:val="22"/>
        </w:rPr>
        <w:t>ً</w:t>
      </w:r>
      <w:r>
        <w:rPr>
          <w:spacing w:val="1"/>
          <w:w w:val="82"/>
          <w:sz w:val="22"/>
          <w:szCs w:val="22"/>
        </w:rPr>
        <w:t>ى</w:t>
      </w:r>
      <w:r>
        <w:rPr>
          <w:w w:val="82"/>
          <w:sz w:val="22"/>
          <w:szCs w:val="22"/>
        </w:rPr>
        <w:t>ع</w:t>
      </w:r>
      <w:r>
        <w:rPr>
          <w:spacing w:val="-1"/>
          <w:sz w:val="22"/>
          <w:szCs w:val="22"/>
        </w:rPr>
        <w:t> </w:t>
      </w:r>
      <w:r>
        <w:rPr>
          <w:sz w:val="22"/>
          <w:szCs w:val="22"/>
        </w:rPr>
        <w:t>ا</w:t>
      </w:r>
      <w:r>
        <w:rPr>
          <w:spacing w:val="-2"/>
          <w:w w:val="64"/>
          <w:sz w:val="22"/>
          <w:szCs w:val="22"/>
        </w:rPr>
        <w:t>ن</w:t>
      </w:r>
      <w:r>
        <w:rPr>
          <w:w w:val="64"/>
          <w:sz w:val="22"/>
          <w:szCs w:val="22"/>
        </w:rPr>
        <w:t>جش</w:t>
      </w:r>
      <w:r>
        <w:rPr>
          <w:spacing w:val="-2"/>
          <w:w w:val="34"/>
          <w:sz w:val="22"/>
          <w:szCs w:val="22"/>
        </w:rPr>
        <w:t>ث</w:t>
      </w:r>
      <w:r>
        <w:rPr>
          <w:w w:val="67"/>
          <w:sz w:val="22"/>
          <w:szCs w:val="22"/>
        </w:rPr>
        <w:t>ى</w:t>
      </w:r>
      <w:r>
        <w:rPr>
          <w:spacing w:val="1"/>
          <w:w w:val="61"/>
          <w:sz w:val="22"/>
          <w:szCs w:val="22"/>
        </w:rPr>
        <w:t>ي</w:t>
      </w:r>
      <w:r>
        <w:rPr>
          <w:spacing w:val="-2"/>
          <w:sz w:val="22"/>
          <w:szCs w:val="22"/>
        </w:rPr>
        <w:t>ُ</w:t>
      </w:r>
      <w:r>
        <w:rPr>
          <w:spacing w:val="1"/>
          <w:w w:val="52"/>
          <w:sz w:val="22"/>
          <w:szCs w:val="22"/>
        </w:rPr>
        <w:t>ت</w:t>
      </w:r>
      <w:r>
        <w:rPr>
          <w:spacing w:val="2"/>
          <w:sz w:val="22"/>
          <w:szCs w:val="22"/>
        </w:rPr>
        <w:t>,</w:t>
      </w:r>
      <w:r>
        <w:rPr>
          <w:spacing w:val="2"/>
          <w:sz w:val="22"/>
          <w:szCs w:val="22"/>
        </w:rPr>
        <w:t> </w:t>
      </w:r>
      <w:r>
        <w:rPr>
          <w:w w:val="76"/>
          <w:sz w:val="22"/>
          <w:szCs w:val="22"/>
        </w:rPr>
        <w:t>يج</w:t>
      </w:r>
      <w:r>
        <w:rPr>
          <w:spacing w:val="1"/>
          <w:sz w:val="22"/>
          <w:szCs w:val="22"/>
        </w:rPr>
        <w:t>ً</w:t>
      </w:r>
      <w:r>
        <w:rPr>
          <w:spacing w:val="1"/>
          <w:w w:val="82"/>
          <w:sz w:val="22"/>
          <w:szCs w:val="22"/>
        </w:rPr>
        <w:t>ى</w:t>
      </w:r>
      <w:r>
        <w:rPr>
          <w:w w:val="82"/>
          <w:sz w:val="22"/>
          <w:szCs w:val="22"/>
        </w:rPr>
        <w:t>ع</w:t>
      </w:r>
      <w:r>
        <w:rPr>
          <w:spacing w:val="-1"/>
          <w:sz w:val="22"/>
          <w:szCs w:val="22"/>
        </w:rPr>
        <w:t> </w:t>
      </w:r>
      <w:r>
        <w:rPr>
          <w:sz w:val="22"/>
          <w:szCs w:val="22"/>
        </w:rPr>
        <w:t>ا</w:t>
      </w:r>
      <w:r>
        <w:rPr>
          <w:spacing w:val="-2"/>
          <w:w w:val="39"/>
          <w:sz w:val="22"/>
          <w:szCs w:val="22"/>
        </w:rPr>
        <w:t>ن</w:t>
      </w:r>
      <w:r>
        <w:rPr>
          <w:spacing w:val="-2"/>
          <w:w w:val="45"/>
          <w:sz w:val="22"/>
          <w:szCs w:val="22"/>
        </w:rPr>
        <w:t>ق</w:t>
      </w:r>
      <w:r>
        <w:rPr>
          <w:spacing w:val="-2"/>
          <w:w w:val="73"/>
          <w:sz w:val="22"/>
          <w:szCs w:val="22"/>
        </w:rPr>
        <w:t>ه</w:t>
      </w:r>
      <w:r>
        <w:rPr>
          <w:w w:val="67"/>
          <w:sz w:val="22"/>
          <w:szCs w:val="22"/>
        </w:rPr>
        <w:t>ى</w:t>
      </w:r>
      <w:r>
        <w:rPr>
          <w:spacing w:val="-2"/>
          <w:sz w:val="22"/>
          <w:szCs w:val="22"/>
        </w:rPr>
        <w:t>َُ</w:t>
      </w:r>
      <w:r>
        <w:rPr>
          <w:spacing w:val="1"/>
          <w:w w:val="32"/>
          <w:sz w:val="22"/>
          <w:szCs w:val="22"/>
        </w:rPr>
        <w:t>ب</w:t>
      </w:r>
      <w:r>
        <w:rPr>
          <w:spacing w:val="-1"/>
          <w:sz w:val="22"/>
          <w:szCs w:val="22"/>
        </w:rPr>
        <w:t>ث</w:t>
      </w:r>
      <w:r>
        <w:rPr>
          <w:spacing w:val="2"/>
          <w:sz w:val="22"/>
          <w:szCs w:val="22"/>
        </w:rPr>
        <w:t>,</w:t>
      </w:r>
      <w:r>
        <w:rPr>
          <w:sz w:val="22"/>
          <w:szCs w:val="22"/>
        </w:rPr>
        <w:t> ا</w:t>
      </w:r>
      <w:r>
        <w:rPr>
          <w:spacing w:val="-2"/>
          <w:w w:val="39"/>
          <w:sz w:val="22"/>
          <w:szCs w:val="22"/>
        </w:rPr>
        <w:t>ن</w:t>
      </w:r>
      <w:r>
        <w:rPr>
          <w:spacing w:val="-2"/>
          <w:w w:val="45"/>
          <w:sz w:val="22"/>
          <w:szCs w:val="22"/>
        </w:rPr>
        <w:t>ق</w:t>
      </w:r>
      <w:r>
        <w:rPr>
          <w:spacing w:val="-2"/>
          <w:w w:val="73"/>
          <w:sz w:val="22"/>
          <w:szCs w:val="22"/>
        </w:rPr>
        <w:t>ه</w:t>
      </w:r>
      <w:r>
        <w:rPr>
          <w:w w:val="67"/>
          <w:sz w:val="22"/>
          <w:szCs w:val="22"/>
        </w:rPr>
        <w:t>ى</w:t>
      </w:r>
      <w:r>
        <w:rPr>
          <w:spacing w:val="-2"/>
          <w:sz w:val="22"/>
          <w:szCs w:val="22"/>
        </w:rPr>
        <w:t>َُ</w:t>
      </w:r>
      <w:r>
        <w:rPr>
          <w:spacing w:val="1"/>
          <w:w w:val="52"/>
          <w:sz w:val="22"/>
          <w:szCs w:val="22"/>
        </w:rPr>
        <w:t>ت</w:t>
      </w:r>
      <w:r>
        <w:rPr>
          <w:spacing w:val="-1"/>
          <w:sz w:val="22"/>
          <w:szCs w:val="22"/>
        </w:rPr>
        <w:t> </w:t>
      </w:r>
      <w:r>
        <w:rPr>
          <w:sz w:val="22"/>
          <w:szCs w:val="22"/>
        </w:rPr>
        <w:t>ا</w:t>
      </w:r>
      <w:r>
        <w:rPr>
          <w:spacing w:val="-2"/>
          <w:w w:val="39"/>
          <w:sz w:val="22"/>
          <w:szCs w:val="22"/>
        </w:rPr>
        <w:t>ن</w:t>
      </w:r>
      <w:r>
        <w:rPr>
          <w:spacing w:val="1"/>
          <w:sz w:val="22"/>
          <w:szCs w:val="22"/>
        </w:rPr>
        <w:t>ً</w:t>
      </w:r>
      <w:r>
        <w:rPr>
          <w:spacing w:val="-2"/>
          <w:w w:val="43"/>
          <w:sz w:val="22"/>
          <w:szCs w:val="22"/>
        </w:rPr>
        <w:t>خ</w:t>
      </w:r>
      <w:r>
        <w:rPr>
          <w:spacing w:val="-1"/>
          <w:w w:val="64"/>
          <w:sz w:val="22"/>
          <w:szCs w:val="22"/>
        </w:rPr>
        <w:t>س</w:t>
      </w:r>
      <w:r>
        <w:rPr>
          <w:spacing w:val="1"/>
          <w:w w:val="32"/>
          <w:sz w:val="22"/>
          <w:szCs w:val="22"/>
        </w:rPr>
        <w:t>ب</w:t>
      </w:r>
      <w:r>
        <w:rPr>
          <w:spacing w:val="1"/>
          <w:w w:val="76"/>
          <w:sz w:val="22"/>
          <w:szCs w:val="22"/>
        </w:rPr>
        <w:t>ي</w:t>
      </w:r>
      <w:r>
        <w:rPr>
          <w:w w:val="76"/>
          <w:sz w:val="22"/>
          <w:szCs w:val="22"/>
        </w:rPr>
        <w:t>ح</w:t>
      </w:r>
    </w:p>
    <w:p>
      <w:pPr>
        <w:bidi/>
        <w:spacing w:line="252" w:lineRule="exact" w:before="0"/>
        <w:ind w:left="0" w:right="7349" w:firstLine="0"/>
        <w:jc w:val="right"/>
        <w:rPr>
          <w:sz w:val="22"/>
          <w:szCs w:val="22"/>
        </w:rPr>
      </w:pPr>
      <w:r>
        <w:rPr>
          <w:w w:val="73"/>
          <w:sz w:val="22"/>
          <w:szCs w:val="22"/>
        </w:rPr>
        <w:t>حش</w:t>
      </w:r>
      <w:r>
        <w:rPr>
          <w:spacing w:val="-2"/>
          <w:w w:val="67"/>
          <w:sz w:val="22"/>
          <w:szCs w:val="22"/>
        </w:rPr>
        <w:t>ا</w:t>
      </w:r>
      <w:r>
        <w:rPr>
          <w:spacing w:val="-1"/>
          <w:w w:val="67"/>
          <w:sz w:val="22"/>
          <w:szCs w:val="22"/>
        </w:rPr>
        <w:t>سٌ</w:t>
      </w:r>
      <w:r>
        <w:rPr>
          <w:spacing w:val="1"/>
          <w:sz w:val="22"/>
          <w:szCs w:val="22"/>
        </w:rPr>
        <w:t> </w:t>
      </w:r>
      <w:r>
        <w:rPr>
          <w:sz w:val="22"/>
          <w:szCs w:val="22"/>
        </w:rPr>
        <w:t>و</w:t>
      </w:r>
      <w:r>
        <w:rPr>
          <w:spacing w:val="-1"/>
          <w:sz w:val="22"/>
          <w:szCs w:val="22"/>
        </w:rPr>
        <w:t> </w:t>
      </w:r>
      <w:r>
        <w:rPr>
          <w:sz w:val="22"/>
          <w:szCs w:val="22"/>
        </w:rPr>
        <w:t>ا</w:t>
      </w:r>
      <w:r>
        <w:rPr>
          <w:spacing w:val="-2"/>
          <w:w w:val="39"/>
          <w:sz w:val="22"/>
          <w:szCs w:val="22"/>
        </w:rPr>
        <w:t>ن</w:t>
      </w:r>
      <w:r>
        <w:rPr>
          <w:spacing w:val="1"/>
          <w:w w:val="48"/>
          <w:sz w:val="22"/>
          <w:szCs w:val="22"/>
        </w:rPr>
        <w:t>ؼ</w:t>
      </w:r>
      <w:r>
        <w:rPr>
          <w:spacing w:val="-2"/>
          <w:w w:val="45"/>
          <w:sz w:val="22"/>
          <w:szCs w:val="22"/>
        </w:rPr>
        <w:t>ق</w:t>
      </w:r>
      <w:r>
        <w:rPr>
          <w:spacing w:val="1"/>
          <w:sz w:val="22"/>
          <w:szCs w:val="22"/>
        </w:rPr>
        <w:t>ذ</w:t>
      </w:r>
      <w:r>
        <w:rPr>
          <w:spacing w:val="-2"/>
          <w:sz w:val="22"/>
          <w:szCs w:val="22"/>
        </w:rPr>
        <w:t>َ</w:t>
      </w:r>
      <w:r>
        <w:rPr>
          <w:spacing w:val="1"/>
          <w:w w:val="32"/>
          <w:sz w:val="22"/>
          <w:szCs w:val="22"/>
        </w:rPr>
        <w:t>ب</w:t>
      </w:r>
      <w:r>
        <w:rPr>
          <w:spacing w:val="-1"/>
          <w:sz w:val="22"/>
          <w:szCs w:val="22"/>
        </w:rPr>
        <w:t>ث </w:t>
      </w:r>
      <w:r>
        <w:rPr>
          <w:sz w:val="22"/>
          <w:szCs w:val="22"/>
        </w:rPr>
        <w:t>ا</w:t>
      </w:r>
      <w:r>
        <w:rPr>
          <w:spacing w:val="-2"/>
          <w:w w:val="39"/>
          <w:sz w:val="22"/>
          <w:szCs w:val="22"/>
        </w:rPr>
        <w:t>ن</w:t>
      </w:r>
      <w:r>
        <w:rPr>
          <w:spacing w:val="-2"/>
          <w:w w:val="47"/>
          <w:sz w:val="22"/>
          <w:szCs w:val="22"/>
        </w:rPr>
        <w:t>ب</w:t>
      </w:r>
      <w:r>
        <w:rPr>
          <w:w w:val="47"/>
          <w:sz w:val="22"/>
          <w:szCs w:val="22"/>
        </w:rPr>
        <w:t>ش</w:t>
      </w:r>
      <w:r>
        <w:rPr>
          <w:spacing w:val="-2"/>
          <w:w w:val="53"/>
          <w:sz w:val="22"/>
          <w:szCs w:val="22"/>
        </w:rPr>
        <w:t>ا</w:t>
      </w:r>
      <w:r>
        <w:rPr>
          <w:w w:val="53"/>
          <w:sz w:val="22"/>
          <w:szCs w:val="22"/>
        </w:rPr>
        <w:t>ص</w:t>
      </w:r>
      <w:r>
        <w:rPr>
          <w:spacing w:val="-2"/>
          <w:sz w:val="22"/>
          <w:szCs w:val="22"/>
        </w:rPr>
        <w:t>َ</w:t>
      </w:r>
      <w:r>
        <w:rPr>
          <w:spacing w:val="1"/>
          <w:w w:val="52"/>
          <w:sz w:val="22"/>
          <w:szCs w:val="22"/>
        </w:rPr>
        <w:t>ت</w:t>
      </w:r>
      <w:r>
        <w:rPr>
          <w:sz w:val="22"/>
          <w:szCs w:val="22"/>
        </w:rPr>
        <w:t>.</w:t>
      </w:r>
      <w:r>
        <w:rPr>
          <w:spacing w:val="-2"/>
          <w:sz w:val="22"/>
          <w:szCs w:val="22"/>
        </w:rPr>
        <w:t>)</w:t>
      </w:r>
    </w:p>
    <w:p>
      <w:pPr>
        <w:pStyle w:val="BodyText"/>
        <w:spacing w:before="11"/>
        <w:rPr>
          <w:sz w:val="20"/>
        </w:rPr>
      </w:pPr>
    </w:p>
    <w:p>
      <w:pPr>
        <w:bidi/>
        <w:spacing w:before="0"/>
        <w:ind w:left="0" w:right="2645" w:firstLine="0"/>
        <w:jc w:val="right"/>
        <w:rPr>
          <w:sz w:val="22"/>
          <w:szCs w:val="22"/>
        </w:rPr>
      </w:pPr>
      <w:r>
        <w:rPr>
          <w:b/>
          <w:bCs/>
          <w:w w:val="99"/>
          <w:sz w:val="32"/>
          <w:szCs w:val="32"/>
        </w:rPr>
        <w:t>ا</w:t>
      </w:r>
      <w:r>
        <w:rPr>
          <w:b/>
          <w:bCs/>
          <w:spacing w:val="1"/>
          <w:w w:val="59"/>
          <w:sz w:val="32"/>
          <w:szCs w:val="32"/>
        </w:rPr>
        <w:t>ل</w:t>
      </w:r>
      <w:r>
        <w:rPr>
          <w:b/>
          <w:bCs/>
          <w:spacing w:val="-1"/>
          <w:w w:val="59"/>
          <w:sz w:val="32"/>
          <w:szCs w:val="32"/>
        </w:rPr>
        <w:t>ك</w:t>
      </w:r>
      <w:r>
        <w:rPr>
          <w:b/>
          <w:bCs/>
          <w:w w:val="91"/>
          <w:sz w:val="32"/>
          <w:szCs w:val="32"/>
        </w:rPr>
        <w:t>ل</w:t>
      </w:r>
      <w:r>
        <w:rPr>
          <w:b/>
          <w:bCs/>
          <w:spacing w:val="-1"/>
          <w:w w:val="91"/>
          <w:sz w:val="32"/>
          <w:szCs w:val="32"/>
        </w:rPr>
        <w:t>مات</w:t>
      </w:r>
      <w:r>
        <w:rPr>
          <w:b/>
          <w:bCs/>
          <w:spacing w:val="-1"/>
          <w:sz w:val="32"/>
          <w:szCs w:val="32"/>
        </w:rPr>
        <w:t> </w:t>
      </w:r>
      <w:r>
        <w:rPr>
          <w:b/>
          <w:bCs/>
          <w:w w:val="66"/>
          <w:sz w:val="32"/>
          <w:szCs w:val="32"/>
        </w:rPr>
        <w:t>ا</w:t>
      </w:r>
      <w:r>
        <w:rPr>
          <w:b/>
          <w:bCs/>
          <w:spacing w:val="-1"/>
          <w:w w:val="66"/>
          <w:sz w:val="32"/>
          <w:szCs w:val="32"/>
        </w:rPr>
        <w:t>لمف</w:t>
      </w:r>
      <w:r>
        <w:rPr>
          <w:b/>
          <w:bCs/>
          <w:w w:val="41"/>
          <w:sz w:val="32"/>
          <w:szCs w:val="32"/>
        </w:rPr>
        <w:t>ت</w:t>
      </w:r>
      <w:r>
        <w:rPr>
          <w:b/>
          <w:bCs/>
          <w:w w:val="108"/>
          <w:sz w:val="32"/>
          <w:szCs w:val="32"/>
        </w:rPr>
        <w:t>ا</w:t>
      </w:r>
      <w:r>
        <w:rPr>
          <w:b/>
          <w:bCs/>
          <w:w w:val="77"/>
          <w:sz w:val="32"/>
          <w:szCs w:val="32"/>
        </w:rPr>
        <w:t>ح</w:t>
      </w:r>
      <w:r>
        <w:rPr>
          <w:b/>
          <w:bCs/>
          <w:spacing w:val="-1"/>
          <w:w w:val="77"/>
          <w:sz w:val="32"/>
          <w:szCs w:val="32"/>
        </w:rPr>
        <w:t>ية</w:t>
      </w:r>
      <w:r>
        <w:rPr>
          <w:spacing w:val="24"/>
          <w:sz w:val="22"/>
          <w:szCs w:val="22"/>
        </w:rPr>
        <w:t> </w:t>
      </w:r>
      <w:r>
        <w:rPr>
          <w:sz w:val="22"/>
          <w:szCs w:val="22"/>
        </w:rPr>
        <w:t>:</w:t>
      </w:r>
      <w:r>
        <w:rPr>
          <w:spacing w:val="-1"/>
          <w:sz w:val="22"/>
          <w:szCs w:val="22"/>
        </w:rPr>
        <w:t> </w:t>
      </w:r>
      <w:r>
        <w:rPr>
          <w:sz w:val="22"/>
          <w:szCs w:val="22"/>
        </w:rPr>
        <w:t>ا</w:t>
      </w:r>
      <w:r>
        <w:rPr>
          <w:spacing w:val="-2"/>
          <w:w w:val="39"/>
          <w:sz w:val="22"/>
          <w:szCs w:val="22"/>
        </w:rPr>
        <w:t>ن</w:t>
      </w:r>
      <w:r>
        <w:rPr>
          <w:spacing w:val="-3"/>
          <w:w w:val="68"/>
          <w:sz w:val="22"/>
          <w:szCs w:val="22"/>
        </w:rPr>
        <w:t>خ</w:t>
      </w:r>
      <w:r>
        <w:rPr>
          <w:w w:val="68"/>
          <w:sz w:val="22"/>
          <w:szCs w:val="22"/>
        </w:rPr>
        <w:t>ح</w:t>
      </w:r>
      <w:r>
        <w:rPr>
          <w:spacing w:val="1"/>
          <w:w w:val="32"/>
          <w:sz w:val="22"/>
          <w:szCs w:val="22"/>
        </w:rPr>
        <w:t>ب</w:t>
      </w:r>
      <w:r>
        <w:rPr>
          <w:spacing w:val="-2"/>
          <w:w w:val="39"/>
          <w:sz w:val="22"/>
          <w:szCs w:val="22"/>
        </w:rPr>
        <w:t>ن</w:t>
      </w:r>
      <w:r>
        <w:rPr>
          <w:spacing w:val="-2"/>
          <w:sz w:val="22"/>
          <w:szCs w:val="22"/>
        </w:rPr>
        <w:t>ُ</w:t>
      </w:r>
      <w:r>
        <w:rPr>
          <w:w w:val="149"/>
          <w:sz w:val="22"/>
          <w:szCs w:val="22"/>
        </w:rPr>
        <w:t>م</w:t>
      </w:r>
      <w:r>
        <w:rPr>
          <w:spacing w:val="2"/>
          <w:sz w:val="22"/>
          <w:szCs w:val="22"/>
        </w:rPr>
        <w:t>,</w:t>
      </w:r>
      <w:r>
        <w:rPr>
          <w:sz w:val="22"/>
          <w:szCs w:val="22"/>
        </w:rPr>
        <w:t> ا</w:t>
      </w:r>
      <w:r>
        <w:rPr>
          <w:spacing w:val="-2"/>
          <w:w w:val="39"/>
          <w:sz w:val="22"/>
          <w:szCs w:val="22"/>
        </w:rPr>
        <w:t>ن</w:t>
      </w:r>
      <w:r>
        <w:rPr>
          <w:spacing w:val="-2"/>
          <w:sz w:val="22"/>
          <w:szCs w:val="22"/>
        </w:rPr>
        <w:t>ُ</w:t>
      </w:r>
      <w:r>
        <w:rPr>
          <w:spacing w:val="1"/>
          <w:w w:val="66"/>
          <w:sz w:val="22"/>
          <w:szCs w:val="22"/>
        </w:rPr>
        <w:t>ى</w:t>
      </w:r>
      <w:r>
        <w:rPr>
          <w:w w:val="66"/>
          <w:sz w:val="22"/>
          <w:szCs w:val="22"/>
        </w:rPr>
        <w:t>ػ</w:t>
      </w:r>
      <w:r>
        <w:rPr>
          <w:spacing w:val="-2"/>
          <w:sz w:val="22"/>
          <w:szCs w:val="22"/>
        </w:rPr>
        <w:t>ُ</w:t>
      </w:r>
      <w:r>
        <w:rPr>
          <w:spacing w:val="1"/>
          <w:w w:val="52"/>
          <w:sz w:val="22"/>
          <w:szCs w:val="22"/>
        </w:rPr>
        <w:t>ت</w:t>
      </w:r>
      <w:r>
        <w:rPr>
          <w:spacing w:val="-1"/>
          <w:sz w:val="22"/>
          <w:szCs w:val="22"/>
        </w:rPr>
        <w:t> </w:t>
      </w:r>
      <w:r>
        <w:rPr>
          <w:sz w:val="22"/>
          <w:szCs w:val="22"/>
        </w:rPr>
        <w:t>ا</w:t>
      </w:r>
      <w:r>
        <w:rPr>
          <w:spacing w:val="-2"/>
          <w:w w:val="39"/>
          <w:sz w:val="22"/>
          <w:szCs w:val="22"/>
        </w:rPr>
        <w:t>ن</w:t>
      </w:r>
      <w:r>
        <w:rPr>
          <w:spacing w:val="-2"/>
          <w:w w:val="33"/>
          <w:sz w:val="22"/>
          <w:szCs w:val="22"/>
        </w:rPr>
        <w:t>ف</w:t>
      </w:r>
      <w:r>
        <w:rPr>
          <w:spacing w:val="-2"/>
          <w:w w:val="44"/>
          <w:sz w:val="22"/>
          <w:szCs w:val="22"/>
        </w:rPr>
        <w:t>ُ</w:t>
      </w:r>
      <w:r>
        <w:rPr>
          <w:w w:val="44"/>
          <w:sz w:val="22"/>
          <w:szCs w:val="22"/>
        </w:rPr>
        <w:t>ض</w:t>
      </w:r>
      <w:r>
        <w:rPr>
          <w:spacing w:val="-2"/>
          <w:sz w:val="22"/>
          <w:szCs w:val="22"/>
        </w:rPr>
        <w:t>َ</w:t>
      </w:r>
      <w:r>
        <w:rPr>
          <w:w w:val="67"/>
          <w:sz w:val="22"/>
          <w:szCs w:val="22"/>
        </w:rPr>
        <w:t>ى</w:t>
      </w:r>
      <w:r>
        <w:rPr>
          <w:spacing w:val="1"/>
          <w:w w:val="65"/>
          <w:sz w:val="22"/>
          <w:szCs w:val="22"/>
        </w:rPr>
        <w:t>ك</w:t>
      </w:r>
      <w:r>
        <w:rPr>
          <w:spacing w:val="-2"/>
          <w:sz w:val="22"/>
          <w:szCs w:val="22"/>
        </w:rPr>
        <w:t>ُ</w:t>
      </w:r>
      <w:r>
        <w:rPr>
          <w:spacing w:val="1"/>
          <w:sz w:val="22"/>
          <w:szCs w:val="22"/>
        </w:rPr>
        <w:t>ً</w:t>
      </w:r>
      <w:r>
        <w:rPr>
          <w:spacing w:val="-2"/>
          <w:sz w:val="22"/>
          <w:szCs w:val="22"/>
        </w:rPr>
        <w:t>ُ</w:t>
      </w:r>
      <w:r>
        <w:rPr>
          <w:spacing w:val="1"/>
          <w:w w:val="32"/>
          <w:sz w:val="22"/>
          <w:szCs w:val="22"/>
        </w:rPr>
        <w:t>ب</w:t>
      </w:r>
      <w:r>
        <w:rPr>
          <w:spacing w:val="-2"/>
          <w:w w:val="38"/>
          <w:sz w:val="22"/>
          <w:szCs w:val="22"/>
        </w:rPr>
        <w:t>ئ</w:t>
      </w:r>
      <w:r>
        <w:rPr>
          <w:spacing w:val="-2"/>
          <w:sz w:val="22"/>
          <w:szCs w:val="22"/>
        </w:rPr>
        <w:t>ُ</w:t>
      </w:r>
      <w:r>
        <w:rPr>
          <w:spacing w:val="1"/>
          <w:w w:val="52"/>
          <w:sz w:val="22"/>
          <w:szCs w:val="22"/>
        </w:rPr>
        <w:t>ت</w:t>
      </w:r>
      <w:r>
        <w:rPr>
          <w:spacing w:val="2"/>
          <w:sz w:val="22"/>
          <w:szCs w:val="22"/>
        </w:rPr>
        <w:t>,</w:t>
      </w:r>
      <w:r>
        <w:rPr>
          <w:spacing w:val="-1"/>
          <w:sz w:val="22"/>
          <w:szCs w:val="22"/>
        </w:rPr>
        <w:t> </w:t>
      </w:r>
      <w:r>
        <w:rPr>
          <w:sz w:val="22"/>
          <w:szCs w:val="22"/>
        </w:rPr>
        <w:t>ا</w:t>
      </w:r>
      <w:r>
        <w:rPr>
          <w:spacing w:val="-2"/>
          <w:w w:val="39"/>
          <w:sz w:val="22"/>
          <w:szCs w:val="22"/>
        </w:rPr>
        <w:t>ن</w:t>
      </w:r>
      <w:r>
        <w:rPr>
          <w:spacing w:val="-2"/>
          <w:w w:val="34"/>
          <w:sz w:val="22"/>
          <w:szCs w:val="22"/>
        </w:rPr>
        <w:t>ب</w:t>
      </w:r>
      <w:r>
        <w:rPr>
          <w:spacing w:val="1"/>
          <w:w w:val="65"/>
          <w:sz w:val="22"/>
          <w:szCs w:val="22"/>
        </w:rPr>
        <w:t>ك</w:t>
      </w:r>
      <w:r>
        <w:rPr>
          <w:spacing w:val="-2"/>
          <w:w w:val="43"/>
          <w:sz w:val="22"/>
          <w:szCs w:val="22"/>
        </w:rPr>
        <w:t>خ</w:t>
      </w:r>
      <w:r>
        <w:rPr>
          <w:spacing w:val="-2"/>
          <w:w w:val="59"/>
          <w:sz w:val="22"/>
          <w:szCs w:val="22"/>
        </w:rPr>
        <w:t>ُ</w:t>
      </w:r>
      <w:r>
        <w:rPr>
          <w:w w:val="59"/>
          <w:sz w:val="22"/>
          <w:szCs w:val="22"/>
        </w:rPr>
        <w:t>ش</w:t>
      </w:r>
      <w:r>
        <w:rPr>
          <w:spacing w:val="-2"/>
          <w:sz w:val="22"/>
          <w:szCs w:val="22"/>
        </w:rPr>
        <w:t>َ</w:t>
      </w:r>
      <w:r>
        <w:rPr>
          <w:w w:val="67"/>
          <w:sz w:val="22"/>
          <w:szCs w:val="22"/>
        </w:rPr>
        <w:t>ى</w:t>
      </w:r>
      <w:r>
        <w:rPr>
          <w:spacing w:val="-2"/>
          <w:w w:val="67"/>
          <w:sz w:val="22"/>
          <w:szCs w:val="22"/>
        </w:rPr>
        <w:t>ن</w:t>
      </w:r>
      <w:r>
        <w:rPr>
          <w:w w:val="67"/>
          <w:sz w:val="22"/>
          <w:szCs w:val="22"/>
        </w:rPr>
        <w:t>ىج</w:t>
      </w:r>
      <w:r>
        <w:rPr>
          <w:spacing w:val="-2"/>
          <w:sz w:val="22"/>
          <w:szCs w:val="22"/>
        </w:rPr>
        <w:t>ُ</w:t>
      </w:r>
      <w:r>
        <w:rPr>
          <w:spacing w:val="1"/>
          <w:w w:val="52"/>
          <w:sz w:val="22"/>
          <w:szCs w:val="22"/>
        </w:rPr>
        <w:t>ت</w:t>
      </w:r>
      <w:r>
        <w:rPr>
          <w:spacing w:val="2"/>
          <w:sz w:val="22"/>
          <w:szCs w:val="22"/>
        </w:rPr>
        <w:t>,</w:t>
      </w:r>
      <w:r>
        <w:rPr>
          <w:spacing w:val="-2"/>
          <w:sz w:val="22"/>
          <w:szCs w:val="22"/>
        </w:rPr>
        <w:t> </w:t>
      </w:r>
      <w:r>
        <w:rPr>
          <w:sz w:val="22"/>
          <w:szCs w:val="22"/>
        </w:rPr>
        <w:t>ا</w:t>
      </w:r>
      <w:r>
        <w:rPr>
          <w:spacing w:val="-2"/>
          <w:w w:val="39"/>
          <w:sz w:val="22"/>
          <w:szCs w:val="22"/>
        </w:rPr>
        <w:t>ن</w:t>
      </w:r>
      <w:r>
        <w:rPr>
          <w:spacing w:val="-2"/>
          <w:w w:val="43"/>
          <w:sz w:val="22"/>
          <w:szCs w:val="22"/>
        </w:rPr>
        <w:t>خ</w:t>
      </w:r>
      <w:r>
        <w:rPr>
          <w:spacing w:val="-2"/>
          <w:w w:val="73"/>
          <w:sz w:val="22"/>
          <w:szCs w:val="22"/>
        </w:rPr>
        <w:t>ه</w:t>
      </w:r>
      <w:r>
        <w:rPr>
          <w:w w:val="67"/>
          <w:sz w:val="22"/>
          <w:szCs w:val="22"/>
        </w:rPr>
        <w:t>ى</w:t>
      </w:r>
      <w:r>
        <w:rPr>
          <w:spacing w:val="-1"/>
          <w:w w:val="211"/>
          <w:sz w:val="22"/>
          <w:szCs w:val="22"/>
        </w:rPr>
        <w:t>د</w:t>
      </w:r>
      <w:r>
        <w:rPr>
          <w:spacing w:val="2"/>
          <w:sz w:val="22"/>
          <w:szCs w:val="22"/>
        </w:rPr>
        <w:t>,</w:t>
      </w:r>
      <w:r>
        <w:rPr>
          <w:spacing w:val="2"/>
          <w:sz w:val="22"/>
          <w:szCs w:val="22"/>
        </w:rPr>
        <w:t> </w:t>
      </w:r>
      <w:r>
        <w:rPr>
          <w:w w:val="46"/>
          <w:sz w:val="22"/>
          <w:szCs w:val="22"/>
        </w:rPr>
        <w:t>ق</w:t>
      </w:r>
      <w:r>
        <w:rPr>
          <w:spacing w:val="1"/>
          <w:w w:val="32"/>
          <w:sz w:val="22"/>
          <w:szCs w:val="22"/>
        </w:rPr>
        <w:t>ب</w:t>
      </w:r>
      <w:r>
        <w:rPr>
          <w:spacing w:val="-2"/>
          <w:w w:val="39"/>
          <w:sz w:val="22"/>
          <w:szCs w:val="22"/>
        </w:rPr>
        <w:t>ن</w:t>
      </w:r>
      <w:r>
        <w:rPr>
          <w:spacing w:val="1"/>
          <w:sz w:val="22"/>
          <w:szCs w:val="22"/>
        </w:rPr>
        <w:t>ً</w:t>
      </w:r>
      <w:r>
        <w:rPr>
          <w:spacing w:val="1"/>
          <w:w w:val="52"/>
          <w:sz w:val="22"/>
          <w:szCs w:val="22"/>
        </w:rPr>
        <w:t>ت</w:t>
      </w:r>
      <w:r>
        <w:rPr>
          <w:spacing w:val="18"/>
          <w:sz w:val="22"/>
          <w:szCs w:val="22"/>
        </w:rPr>
        <w:t> </w:t>
      </w:r>
      <w:r>
        <w:rPr>
          <w:sz w:val="22"/>
          <w:szCs w:val="22"/>
        </w:rPr>
        <w:t>,</w:t>
      </w:r>
      <w:r>
        <w:rPr>
          <w:spacing w:val="1"/>
          <w:sz w:val="22"/>
          <w:szCs w:val="22"/>
        </w:rPr>
        <w:t> </w:t>
      </w:r>
      <w:r>
        <w:rPr>
          <w:w w:val="61"/>
          <w:sz w:val="22"/>
          <w:szCs w:val="22"/>
        </w:rPr>
        <w:t>ي</w:t>
      </w:r>
      <w:r>
        <w:rPr>
          <w:spacing w:val="-2"/>
          <w:sz w:val="22"/>
          <w:szCs w:val="22"/>
        </w:rPr>
        <w:t>ُ</w:t>
      </w:r>
      <w:r>
        <w:rPr>
          <w:spacing w:val="-2"/>
          <w:w w:val="34"/>
          <w:sz w:val="22"/>
          <w:szCs w:val="22"/>
        </w:rPr>
        <w:t>ب</w:t>
      </w:r>
      <w:r>
        <w:rPr>
          <w:w w:val="82"/>
          <w:sz w:val="22"/>
          <w:szCs w:val="22"/>
        </w:rPr>
        <w:t>غ</w:t>
      </w:r>
      <w:r>
        <w:rPr>
          <w:spacing w:val="2"/>
          <w:sz w:val="22"/>
          <w:szCs w:val="22"/>
        </w:rPr>
        <w:t>.</w:t>
      </w:r>
    </w:p>
    <w:sectPr>
      <w:type w:val="continuous"/>
      <w:pgSz w:w="11900" w:h="16840"/>
      <w:pgMar w:top="1060" w:bottom="280" w:left="74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Lucida Calligraphy">
    <w:altName w:val="Lucida Calligraphy"/>
    <w:charset w:val="0"/>
    <w:family w:val="script"/>
    <w:pitch w:val="variable"/>
  </w:font>
  <w:font w:name="Calibri">
    <w:altName w:val="Calibri"/>
    <w:charset w:val="0"/>
    <w:family w:val="swiss"/>
    <w:pitch w:val="variable"/>
  </w:font>
  <w:font w:name="Cambria">
    <w:altName w:val="Cambria"/>
    <w:charset w:val="0"/>
    <w:family w:val="roman"/>
    <w:pitch w:val="variable"/>
  </w:font>
  <w:font w:name="Wingdings">
    <w:altName w:val="Wingdings"/>
    <w:charset w:val="2"/>
    <w:family w:val="auto"/>
    <w:pitch w:val="variable"/>
  </w:font>
  <w:font w:name="Symbol">
    <w:altName w:val="Symbol"/>
    <w:charset w:val="2"/>
    <w:family w:val="roman"/>
    <w:pitch w:val="variable"/>
  </w:font>
  <w:font w:name="Courier New">
    <w:altName w:val="Courier New"/>
    <w:charset w:val="0"/>
    <w:family w:val="modern"/>
    <w:pitch w:val="fixed"/>
  </w:font>
  <w:font w:name="Arial Rounded MT Bold">
    <w:altName w:val="Arial Rounded MT Bold"/>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2.701874pt;margin-top:781.190186pt;width:9.6pt;height:13pt;mso-position-horizontal-relative:page;mso-position-vertical-relative:page;z-index:-13648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9.425003pt;margin-top:774.974976pt;width:456.55pt;height:4.2pt;mso-position-horizontal-relative:page;mso-position-vertical-relative:page;z-index:-135928" coordorigin="1389,15499" coordsize="9131,84">
          <v:line style="position:absolute" from="1389,15529" to="10520,15529" stroked="true" strokeweight="3pt" strokecolor="#612322">
            <v:stroke dashstyle="solid"/>
          </v:line>
          <v:line style="position:absolute" from="1389,15577" to="10520,15577" stroked="true" strokeweight=".60004pt" strokecolor="#612322">
            <v:stroke dashstyle="solid"/>
          </v:line>
          <w10:wrap type="none"/>
        </v:group>
      </w:pict>
    </w:r>
    <w:r>
      <w:rPr/>
      <w:pict>
        <v:shape style="position:absolute;margin-left:289.504028pt;margin-top:779.389282pt;width:16pt;height:14.9pt;mso-position-horizontal-relative:page;mso-position-vertical-relative:page;z-index:-135904" type="#_x0000_t202" filled="false" stroked="false">
          <v:textbox inset="0,0,0,0">
            <w:txbxContent>
              <w:p>
                <w:pPr>
                  <w:spacing w:before="20"/>
                  <w:ind w:left="40" w:right="0" w:firstLine="0"/>
                  <w:jc w:val="left"/>
                  <w:rPr>
                    <w:rFonts w:ascii="Cambria"/>
                    <w:sz w:val="22"/>
                  </w:rPr>
                </w:pPr>
                <w:r>
                  <w:rPr/>
                  <w:fldChar w:fldCharType="begin"/>
                </w:r>
                <w:r>
                  <w:rPr>
                    <w:rFonts w:ascii="Cambria"/>
                    <w:sz w:val="22"/>
                  </w:rPr>
                  <w:instrText> PAGE </w:instrText>
                </w:r>
                <w:r>
                  <w:rPr/>
                  <w:fldChar w:fldCharType="separate"/>
                </w:r>
                <w:r>
                  <w:rPr/>
                  <w:t>59</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9.425003pt;margin-top:774.974976pt;width:456.55pt;height:4.2pt;mso-position-horizontal-relative:page;mso-position-vertical-relative:page;z-index:-136384" coordorigin="1389,15499" coordsize="9131,84">
          <v:line style="position:absolute" from="1389,15529" to="10520,15529" stroked="true" strokeweight="3pt" strokecolor="#612322">
            <v:stroke dashstyle="solid"/>
          </v:line>
          <v:line style="position:absolute" from="1389,15577" to="10520,15577" stroked="true" strokeweight=".60004pt" strokecolor="#612322">
            <v:stroke dashstyle="solid"/>
          </v:line>
          <w10:wrap type="none"/>
        </v:group>
      </w:pict>
    </w:r>
    <w:r>
      <w:rPr/>
      <w:pict>
        <v:shape style="position:absolute;margin-left:289.504028pt;margin-top:779.389282pt;width:16pt;height:14.9pt;mso-position-horizontal-relative:page;mso-position-vertical-relative:page;z-index:-136360" type="#_x0000_t202" filled="false" stroked="false">
          <v:textbox inset="0,0,0,0">
            <w:txbxContent>
              <w:p>
                <w:pPr>
                  <w:spacing w:before="20"/>
                  <w:ind w:left="40" w:right="0" w:firstLine="0"/>
                  <w:jc w:val="left"/>
                  <w:rPr>
                    <w:rFonts w:ascii="Cambria"/>
                    <w:sz w:val="22"/>
                  </w:rPr>
                </w:pPr>
                <w:r>
                  <w:rPr/>
                  <w:fldChar w:fldCharType="begin"/>
                </w:r>
                <w:r>
                  <w:rPr>
                    <w:rFonts w:ascii="Cambria"/>
                    <w:sz w:val="22"/>
                  </w:rPr>
                  <w:instrText> PAGE </w:instrText>
                </w:r>
                <w:r>
                  <w:rPr/>
                  <w:fldChar w:fldCharType="separate"/>
                </w:r>
                <w:r>
                  <w:rPr/>
                  <w:t>10</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9.425003pt;margin-top:774.974976pt;width:456.55pt;height:4.2pt;mso-position-horizontal-relative:page;mso-position-vertical-relative:page;z-index:-136264" coordorigin="1389,15499" coordsize="9131,84">
          <v:line style="position:absolute" from="1389,15529" to="10520,15529" stroked="true" strokeweight="3pt" strokecolor="#612322">
            <v:stroke dashstyle="solid"/>
          </v:line>
          <v:line style="position:absolute" from="1389,15577" to="10520,15577" stroked="true" strokeweight=".60004pt" strokecolor="#612322">
            <v:stroke dashstyle="solid"/>
          </v:line>
          <w10:wrap type="none"/>
        </v:group>
      </w:pict>
    </w:r>
    <w:r>
      <w:rPr/>
      <w:pict>
        <v:shape style="position:absolute;margin-left:289.304169pt;margin-top:779.389282pt;width:16pt;height:14.9pt;mso-position-horizontal-relative:page;mso-position-vertical-relative:page;z-index:-136240" type="#_x0000_t202" filled="false" stroked="false">
          <v:textbox inset="0,0,0,0">
            <w:txbxContent>
              <w:p>
                <w:pPr>
                  <w:spacing w:before="20"/>
                  <w:ind w:left="40" w:right="0" w:firstLine="0"/>
                  <w:jc w:val="left"/>
                  <w:rPr>
                    <w:rFonts w:ascii="Cambria"/>
                    <w:sz w:val="22"/>
                  </w:rPr>
                </w:pPr>
                <w:r>
                  <w:rPr/>
                  <w:fldChar w:fldCharType="begin"/>
                </w:r>
                <w:r>
                  <w:rPr>
                    <w:rFonts w:ascii="Cambria"/>
                    <w:sz w:val="22"/>
                  </w:rPr>
                  <w:instrText> PAGE </w:instrText>
                </w:r>
                <w:r>
                  <w:rPr/>
                  <w:fldChar w:fldCharType="separate"/>
                </w:r>
                <w:r>
                  <w:rPr/>
                  <w:t>18</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9.425003pt;margin-top:774.974976pt;width:456.55pt;height:4.2pt;mso-position-horizontal-relative:page;mso-position-vertical-relative:page;z-index:-136144" coordorigin="1389,15499" coordsize="9131,84">
          <v:line style="position:absolute" from="1389,15529" to="10520,15529" stroked="true" strokeweight="3pt" strokecolor="#612322">
            <v:stroke dashstyle="solid"/>
          </v:line>
          <v:line style="position:absolute" from="1389,15577" to="10520,15577" stroked="true" strokeweight=".60004pt" strokecolor="#612322">
            <v:stroke dashstyle="solid"/>
          </v:line>
          <w10:wrap type="none"/>
        </v:group>
      </w:pict>
    </w:r>
    <w:r>
      <w:rPr/>
      <w:pict>
        <v:shape style="position:absolute;margin-left:289.504028pt;margin-top:779.389282pt;width:16pt;height:14.9pt;mso-position-horizontal-relative:page;mso-position-vertical-relative:page;z-index:-136120" type="#_x0000_t202" filled="false" stroked="false">
          <v:textbox inset="0,0,0,0">
            <w:txbxContent>
              <w:p>
                <w:pPr>
                  <w:spacing w:before="20"/>
                  <w:ind w:left="40" w:right="0" w:firstLine="0"/>
                  <w:jc w:val="left"/>
                  <w:rPr>
                    <w:rFonts w:ascii="Cambria"/>
                    <w:sz w:val="22"/>
                  </w:rPr>
                </w:pPr>
                <w:r>
                  <w:rPr/>
                  <w:fldChar w:fldCharType="begin"/>
                </w:r>
                <w:r>
                  <w:rPr>
                    <w:rFonts w:ascii="Cambria"/>
                    <w:sz w:val="22"/>
                  </w:rPr>
                  <w:instrText> PAGE </w:instrText>
                </w:r>
                <w:r>
                  <w:rPr/>
                  <w:fldChar w:fldCharType="separate"/>
                </w:r>
                <w:r>
                  <w:rPr/>
                  <w:t>24</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9.425003pt;margin-top:774.974976pt;width:456.55pt;height:4.2pt;mso-position-horizontal-relative:page;mso-position-vertical-relative:page;z-index:-136024" coordorigin="1389,15499" coordsize="9131,84">
          <v:line style="position:absolute" from="1389,15529" to="10520,15529" stroked="true" strokeweight="3pt" strokecolor="#612322">
            <v:stroke dashstyle="solid"/>
          </v:line>
          <v:line style="position:absolute" from="1389,15577" to="10520,15577" stroked="true" strokeweight=".60004pt" strokecolor="#612322">
            <v:stroke dashstyle="solid"/>
          </v:line>
          <w10:wrap type="none"/>
        </v:group>
      </w:pict>
    </w:r>
    <w:r>
      <w:rPr/>
      <w:pict>
        <v:shape style="position:absolute;margin-left:289.504028pt;margin-top:779.389282pt;width:16pt;height:14.9pt;mso-position-horizontal-relative:page;mso-position-vertical-relative:page;z-index:-136000" type="#_x0000_t202" filled="false" stroked="false">
          <v:textbox inset="0,0,0,0">
            <w:txbxContent>
              <w:p>
                <w:pPr>
                  <w:spacing w:before="20"/>
                  <w:ind w:left="40" w:right="0" w:firstLine="0"/>
                  <w:jc w:val="left"/>
                  <w:rPr>
                    <w:rFonts w:ascii="Cambria"/>
                    <w:sz w:val="22"/>
                  </w:rPr>
                </w:pPr>
                <w:r>
                  <w:rPr/>
                  <w:fldChar w:fldCharType="begin"/>
                </w:r>
                <w:r>
                  <w:rPr>
                    <w:rFonts w:ascii="Cambria"/>
                    <w:sz w:val="22"/>
                  </w:rPr>
                  <w:instrText> PAGE </w:instrText>
                </w:r>
                <w:r>
                  <w:rPr/>
                  <w:fldChar w:fldCharType="separate"/>
                </w:r>
                <w:r>
                  <w:rPr/>
                  <w:t>43</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6528" from="69.425003pt,58.330002pt" to="525.975003pt,58.330002pt" stroked="true" strokeweight="3pt" strokecolor="#612322">
          <v:stroke dashstyle="solid"/>
          <w10:wrap type="none"/>
        </v:line>
      </w:pict>
    </w:r>
    <w:r>
      <w:rPr/>
      <w:pict>
        <v:shapetype id="_x0000_t202" o:spt="202" coordsize="21600,21600" path="m,l,21600r21600,l21600,xe">
          <v:stroke joinstyle="miter"/>
          <v:path gradientshapeok="t" o:connecttype="rect"/>
        </v:shapetype>
        <v:shape style="position:absolute;margin-left:68.425003pt;margin-top:35.338497pt;width:456.4pt;height:20.75pt;mso-position-horizontal-relative:page;mso-position-vertical-relative:page;z-index:-136504" type="#_x0000_t202" filled="false" stroked="false">
          <v:textbox inset="0,0,0,0">
            <w:txbxContent>
              <w:p>
                <w:pPr>
                  <w:tabs>
                    <w:tab w:pos="7380" w:val="left" w:leader="none"/>
                  </w:tabs>
                  <w:spacing w:before="19"/>
                  <w:ind w:left="20" w:right="0" w:firstLine="0"/>
                  <w:jc w:val="left"/>
                  <w:rPr>
                    <w:rFonts w:ascii="Cambria"/>
                    <w:sz w:val="32"/>
                  </w:rPr>
                </w:pPr>
                <w:r>
                  <w:rPr>
                    <w:rFonts w:ascii="Cambria"/>
                    <w:w w:val="99"/>
                    <w:sz w:val="32"/>
                    <w:u w:val="single" w:color="612322"/>
                  </w:rPr>
                  <w:t> </w:t>
                </w:r>
                <w:r>
                  <w:rPr>
                    <w:rFonts w:ascii="Cambria"/>
                    <w:sz w:val="32"/>
                    <w:u w:val="single" w:color="612322"/>
                  </w:rPr>
                  <w:tab/>
                  <w:t>Introduction</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5976" from="69.425003pt,58.330002pt" to="525.975003pt,58.330002pt" stroked="true" strokeweight="3pt" strokecolor="#612322">
          <v:stroke dashstyle="solid"/>
          <w10:wrap type="none"/>
        </v:line>
      </w:pict>
    </w:r>
    <w:r>
      <w:rPr/>
      <w:pict>
        <v:shape style="position:absolute;margin-left:68.425003pt;margin-top:35.338497pt;width:455.9pt;height:20.75pt;mso-position-horizontal-relative:page;mso-position-vertical-relative:page;z-index:-135952" type="#_x0000_t202" filled="false" stroked="false">
          <v:textbox inset="0,0,0,0">
            <w:txbxContent>
              <w:p>
                <w:pPr>
                  <w:tabs>
                    <w:tab w:pos="7600" w:val="left" w:leader="none"/>
                  </w:tabs>
                  <w:spacing w:before="19"/>
                  <w:ind w:left="20" w:right="0" w:firstLine="0"/>
                  <w:jc w:val="left"/>
                  <w:rPr>
                    <w:rFonts w:ascii="Cambria"/>
                    <w:sz w:val="32"/>
                  </w:rPr>
                </w:pPr>
                <w:r>
                  <w:rPr>
                    <w:rFonts w:ascii="Cambria"/>
                    <w:w w:val="99"/>
                    <w:sz w:val="32"/>
                    <w:u w:val="single" w:color="612322"/>
                  </w:rPr>
                  <w:t> </w:t>
                </w:r>
                <w:r>
                  <w:rPr>
                    <w:rFonts w:ascii="Cambria"/>
                    <w:sz w:val="32"/>
                    <w:u w:val="single" w:color="612322"/>
                  </w:rPr>
                  <w:tab/>
                  <w:t>Conclusion</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5880" from="69.425003pt,53.317501pt" to="525.975003pt,53.317501pt" stroked="true" strokeweight="3.025pt" strokecolor="#612322">
          <v:stroke dashstyle="solid"/>
          <w10:wrap type="none"/>
        </v:line>
      </w:pict>
    </w:r>
    <w:r>
      <w:rPr/>
      <w:pict>
        <v:shape style="position:absolute;margin-left:68.425003pt;margin-top:35.648052pt;width:458.55pt;height:15.3pt;mso-position-horizontal-relative:page;mso-position-vertical-relative:page;z-index:-135856" type="#_x0000_t202" filled="false" stroked="false">
          <v:textbox inset="0,0,0,0">
            <w:txbxContent>
              <w:p>
                <w:pPr>
                  <w:pStyle w:val="BodyText"/>
                  <w:tabs>
                    <w:tab w:pos="3209" w:val="left" w:leader="none"/>
                    <w:tab w:pos="9150" w:val="left" w:leader="none"/>
                  </w:tabs>
                  <w:spacing w:before="9"/>
                  <w:ind w:left="20"/>
                </w:pPr>
                <w:r>
                  <w:rPr>
                    <w:u w:val="single" w:color="612322"/>
                  </w:rPr>
                  <w:t> </w:t>
                  <w:tab/>
                  <w:t>Références</w:t>
                </w:r>
                <w:r>
                  <w:rPr>
                    <w:spacing w:val="-8"/>
                    <w:u w:val="single" w:color="612322"/>
                  </w:rPr>
                  <w:t> </w:t>
                </w:r>
                <w:r>
                  <w:rPr>
                    <w:u w:val="single" w:color="612322"/>
                  </w:rPr>
                  <w:t>bibliographiques</w:t>
                  <w:tab/>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5832" from="69.425003pt,53.317501pt" to="525.975003pt,53.317501pt" stroked="true" strokeweight="3.025pt" strokecolor="#612322">
          <v:stroke dashstyle="solid"/>
          <w10:wrap type="none"/>
        </v:line>
      </w:pict>
    </w:r>
    <w:r>
      <w:rPr/>
      <w:pict>
        <v:shape style="position:absolute;margin-left:68.425003pt;margin-top:35.648052pt;width:458.55pt;height:15.3pt;mso-position-horizontal-relative:page;mso-position-vertical-relative:page;z-index:-135808" type="#_x0000_t202" filled="false" stroked="false">
          <v:textbox inset="0,0,0,0">
            <w:txbxContent>
              <w:p>
                <w:pPr>
                  <w:pStyle w:val="BodyText"/>
                  <w:tabs>
                    <w:tab w:pos="3209" w:val="left" w:leader="none"/>
                    <w:tab w:pos="9150" w:val="left" w:leader="none"/>
                  </w:tabs>
                  <w:spacing w:before="9"/>
                  <w:ind w:left="20"/>
                </w:pPr>
                <w:r>
                  <w:rPr>
                    <w:u w:val="single" w:color="612322"/>
                  </w:rPr>
                  <w:t> </w:t>
                  <w:tab/>
                  <w:t>Références</w:t>
                </w:r>
                <w:r>
                  <w:rPr>
                    <w:spacing w:val="-8"/>
                    <w:u w:val="single" w:color="612322"/>
                  </w:rPr>
                  <w:t> </w:t>
                </w:r>
                <w:r>
                  <w:rPr>
                    <w:u w:val="single" w:color="612322"/>
                  </w:rPr>
                  <w:t>bibliographiques</w:t>
                  <w:tab/>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5784" from="69.425003pt,53.317501pt" to="525.975003pt,53.317501pt" stroked="true" strokeweight="3.025pt" strokecolor="#612322">
          <v:stroke dashstyle="solid"/>
          <w10:wrap type="none"/>
        </v:line>
      </w:pict>
    </w:r>
    <w:r>
      <w:rPr/>
      <w:pict>
        <v:shape style="position:absolute;margin-left:68.425003pt;margin-top:35.648052pt;width:458.55pt;height:15.3pt;mso-position-horizontal-relative:page;mso-position-vertical-relative:page;z-index:-135760" type="#_x0000_t202" filled="false" stroked="false">
          <v:textbox inset="0,0,0,0">
            <w:txbxContent>
              <w:p>
                <w:pPr>
                  <w:pStyle w:val="BodyText"/>
                  <w:tabs>
                    <w:tab w:pos="3209" w:val="left" w:leader="none"/>
                    <w:tab w:pos="9150" w:val="left" w:leader="none"/>
                  </w:tabs>
                  <w:spacing w:before="9"/>
                  <w:ind w:left="20"/>
                </w:pPr>
                <w:r>
                  <w:rPr>
                    <w:u w:val="single" w:color="612322"/>
                  </w:rPr>
                  <w:t> </w:t>
                  <w:tab/>
                  <w:t>Références</w:t>
                </w:r>
                <w:r>
                  <w:rPr>
                    <w:spacing w:val="-8"/>
                    <w:u w:val="single" w:color="612322"/>
                  </w:rPr>
                  <w:t> </w:t>
                </w:r>
                <w:r>
                  <w:rPr>
                    <w:u w:val="single" w:color="612322"/>
                  </w:rPr>
                  <w:t>bibliographiques</w:t>
                  <w:tab/>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5736" from="69.425003pt,53.317501pt" to="525.975003pt,53.317501pt" stroked="true" strokeweight="3.025pt" strokecolor="#612322">
          <v:stroke dashstyle="solid"/>
          <w10:wrap type="none"/>
        </v:line>
      </w:pict>
    </w:r>
    <w:r>
      <w:rPr/>
      <w:pict>
        <v:shape style="position:absolute;margin-left:68.425003pt;margin-top:35.648052pt;width:458.55pt;height:15.3pt;mso-position-horizontal-relative:page;mso-position-vertical-relative:page;z-index:-135712" type="#_x0000_t202" filled="false" stroked="false">
          <v:textbox inset="0,0,0,0">
            <w:txbxContent>
              <w:p>
                <w:pPr>
                  <w:pStyle w:val="BodyText"/>
                  <w:tabs>
                    <w:tab w:pos="3209" w:val="left" w:leader="none"/>
                    <w:tab w:pos="9150" w:val="left" w:leader="none"/>
                  </w:tabs>
                  <w:spacing w:before="9"/>
                  <w:ind w:left="20"/>
                </w:pPr>
                <w:r>
                  <w:rPr>
                    <w:u w:val="single" w:color="612322"/>
                  </w:rPr>
                  <w:t> </w:t>
                  <w:tab/>
                  <w:t>Références</w:t>
                </w:r>
                <w:r>
                  <w:rPr>
                    <w:spacing w:val="-8"/>
                    <w:u w:val="single" w:color="612322"/>
                  </w:rPr>
                  <w:t> </w:t>
                </w:r>
                <w:r>
                  <w:rPr>
                    <w:u w:val="single" w:color="612322"/>
                  </w:rPr>
                  <w:t>bibliographiques</w:t>
                  <w:tab/>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5688" from="69.425003pt,53.317501pt" to="525.975003pt,53.317501pt" stroked="true" strokeweight="3.025pt" strokecolor="#612322">
          <v:stroke dashstyle="solid"/>
          <w10:wrap type="none"/>
        </v:line>
      </w:pict>
    </w:r>
    <w:r>
      <w:rPr/>
      <w:pict>
        <v:shape style="position:absolute;margin-left:68.425003pt;margin-top:35.648052pt;width:458.55pt;height:15.3pt;mso-position-horizontal-relative:page;mso-position-vertical-relative:page;z-index:-135664" type="#_x0000_t202" filled="false" stroked="false">
          <v:textbox inset="0,0,0,0">
            <w:txbxContent>
              <w:p>
                <w:pPr>
                  <w:pStyle w:val="BodyText"/>
                  <w:tabs>
                    <w:tab w:pos="3209" w:val="left" w:leader="none"/>
                    <w:tab w:pos="9150" w:val="left" w:leader="none"/>
                  </w:tabs>
                  <w:spacing w:before="9"/>
                  <w:ind w:left="20"/>
                </w:pPr>
                <w:r>
                  <w:rPr>
                    <w:u w:val="single" w:color="612322"/>
                  </w:rPr>
                  <w:t> </w:t>
                  <w:tab/>
                  <w:t>Références</w:t>
                </w:r>
                <w:r>
                  <w:rPr>
                    <w:spacing w:val="-8"/>
                    <w:u w:val="single" w:color="612322"/>
                  </w:rPr>
                  <w:t> </w:t>
                </w:r>
                <w:r>
                  <w:rPr>
                    <w:u w:val="single" w:color="612322"/>
                  </w:rPr>
                  <w:t>bibliographiques</w:t>
                  <w:tab/>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9.425003pt;margin-top:55.619999pt;width:456.55pt;height:4.25pt;mso-position-horizontal-relative:page;mso-position-vertical-relative:page;z-index:-136456" coordorigin="1389,1112" coordsize="9131,85">
          <v:line style="position:absolute" from="1389,1167" to="10520,1167" stroked="true" strokeweight="3pt" strokecolor="#612322">
            <v:stroke dashstyle="solid"/>
          </v:line>
          <v:line style="position:absolute" from="1389,1118" to="10520,1118" stroked="true" strokeweight=".6pt" strokecolor="#612322">
            <v:stroke dashstyle="solid"/>
          </v:line>
          <w10:wrap type="none"/>
        </v:group>
      </w:pict>
    </w:r>
    <w:r>
      <w:rPr/>
      <w:pict>
        <v:shape style="position:absolute;margin-left:70.576881pt;margin-top:35.338497pt;width:82.05pt;height:20.75pt;mso-position-horizontal-relative:page;mso-position-vertical-relative:page;z-index:-136432" type="#_x0000_t202" filled="false" stroked="false">
          <v:textbox inset="0,0,0,0">
            <w:txbxContent>
              <w:p>
                <w:pPr>
                  <w:spacing w:before="19"/>
                  <w:ind w:left="20" w:right="0" w:firstLine="0"/>
                  <w:jc w:val="left"/>
                  <w:rPr>
                    <w:rFonts w:ascii="Cambria"/>
                    <w:sz w:val="32"/>
                  </w:rPr>
                </w:pPr>
                <w:r>
                  <w:rPr>
                    <w:rFonts w:ascii="Cambria"/>
                    <w:sz w:val="32"/>
                  </w:rPr>
                  <w:t>Chapitre 01</w:t>
                </w:r>
              </w:p>
            </w:txbxContent>
          </v:textbox>
          <w10:wrap type="none"/>
        </v:shape>
      </w:pict>
    </w:r>
    <w:r>
      <w:rPr/>
      <w:pict>
        <v:shape style="position:absolute;margin-left:383.261658pt;margin-top:35.338497pt;width:141.15pt;height:20.75pt;mso-position-horizontal-relative:page;mso-position-vertical-relative:page;z-index:-136408" type="#_x0000_t202" filled="false" stroked="false">
          <v:textbox inset="0,0,0,0">
            <w:txbxContent>
              <w:p>
                <w:pPr>
                  <w:spacing w:before="19"/>
                  <w:ind w:left="20" w:right="0" w:firstLine="0"/>
                  <w:jc w:val="left"/>
                  <w:rPr>
                    <w:rFonts w:ascii="Cambria" w:hAnsi="Cambria"/>
                    <w:sz w:val="32"/>
                  </w:rPr>
                </w:pPr>
                <w:r>
                  <w:rPr>
                    <w:rFonts w:ascii="Cambria" w:hAnsi="Cambria"/>
                    <w:sz w:val="32"/>
                  </w:rPr>
                  <w:t>Généralités sur l’eau</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9.425003pt;margin-top:55.619999pt;width:456.55pt;height:4.25pt;mso-position-horizontal-relative:page;mso-position-vertical-relative:page;z-index:-136336" coordorigin="1389,1112" coordsize="9131,85">
          <v:line style="position:absolute" from="1389,1167" to="10520,1167" stroked="true" strokeweight="3pt" strokecolor="#612322">
            <v:stroke dashstyle="solid"/>
          </v:line>
          <v:line style="position:absolute" from="1389,1118" to="10520,1118" stroked="true" strokeweight=".6pt" strokecolor="#612322">
            <v:stroke dashstyle="solid"/>
          </v:line>
          <w10:wrap type="none"/>
        </v:group>
      </w:pict>
    </w:r>
    <w:r>
      <w:rPr/>
      <w:pict>
        <v:shape style="position:absolute;margin-left:70.576881pt;margin-top:35.338497pt;width:82.05pt;height:20.75pt;mso-position-horizontal-relative:page;mso-position-vertical-relative:page;z-index:-136312" type="#_x0000_t202" filled="false" stroked="false">
          <v:textbox inset="0,0,0,0">
            <w:txbxContent>
              <w:p>
                <w:pPr>
                  <w:spacing w:before="19"/>
                  <w:ind w:left="20" w:right="0" w:firstLine="0"/>
                  <w:jc w:val="left"/>
                  <w:rPr>
                    <w:rFonts w:ascii="Cambria"/>
                    <w:sz w:val="32"/>
                  </w:rPr>
                </w:pPr>
                <w:r>
                  <w:rPr>
                    <w:rFonts w:ascii="Cambria"/>
                    <w:sz w:val="32"/>
                  </w:rPr>
                  <w:t>Chapitre 02</w:t>
                </w:r>
              </w:p>
            </w:txbxContent>
          </v:textbox>
          <w10:wrap type="none"/>
        </v:shape>
      </w:pict>
    </w:r>
    <w:r>
      <w:rPr/>
      <w:pict>
        <v:shape style="position:absolute;margin-left:316.286713pt;margin-top:35.338497pt;width:207.55pt;height:20.75pt;mso-position-horizontal-relative:page;mso-position-vertical-relative:page;z-index:-136288" type="#_x0000_t202" filled="false" stroked="false">
          <v:textbox inset="0,0,0,0">
            <w:txbxContent>
              <w:p>
                <w:pPr>
                  <w:spacing w:before="19"/>
                  <w:ind w:left="20" w:right="0" w:firstLine="0"/>
                  <w:jc w:val="left"/>
                  <w:rPr>
                    <w:rFonts w:ascii="Cambria" w:hAnsi="Cambria"/>
                    <w:sz w:val="32"/>
                  </w:rPr>
                </w:pPr>
                <w:r>
                  <w:rPr>
                    <w:rFonts w:ascii="Cambria" w:hAnsi="Cambria"/>
                    <w:sz w:val="32"/>
                  </w:rPr>
                  <w:t>Description de la zone d’étude</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9.425003pt;margin-top:55.619999pt;width:456.55pt;height:4.25pt;mso-position-horizontal-relative:page;mso-position-vertical-relative:page;z-index:-136216" coordorigin="1389,1112" coordsize="9131,85">
          <v:line style="position:absolute" from="1389,1167" to="10520,1167" stroked="true" strokeweight="3pt" strokecolor="#612322">
            <v:stroke dashstyle="solid"/>
          </v:line>
          <v:line style="position:absolute" from="1389,1118" to="10520,1118" stroked="true" strokeweight=".6pt" strokecolor="#612322">
            <v:stroke dashstyle="solid"/>
          </v:line>
          <w10:wrap type="none"/>
        </v:group>
      </w:pict>
    </w:r>
    <w:r>
      <w:rPr/>
      <w:pict>
        <v:shape style="position:absolute;margin-left:70.576881pt;margin-top:35.338497pt;width:73.25pt;height:20.75pt;mso-position-horizontal-relative:page;mso-position-vertical-relative:page;z-index:-136192" type="#_x0000_t202" filled="false" stroked="false">
          <v:textbox inset="0,0,0,0">
            <w:txbxContent>
              <w:p>
                <w:pPr>
                  <w:spacing w:before="19"/>
                  <w:ind w:left="20" w:right="0" w:firstLine="0"/>
                  <w:jc w:val="left"/>
                  <w:rPr>
                    <w:rFonts w:ascii="Cambria"/>
                    <w:sz w:val="32"/>
                  </w:rPr>
                </w:pPr>
                <w:r>
                  <w:rPr>
                    <w:rFonts w:ascii="Cambria"/>
                    <w:sz w:val="32"/>
                  </w:rPr>
                  <w:t>Chapitre 3</w:t>
                </w:r>
              </w:p>
            </w:txbxContent>
          </v:textbox>
          <w10:wrap type="none"/>
        </v:shape>
      </w:pict>
    </w:r>
    <w:r>
      <w:rPr/>
      <w:pict>
        <v:shape style="position:absolute;margin-left:378.075165pt;margin-top:35.338497pt;width:146.15pt;height:20.75pt;mso-position-horizontal-relative:page;mso-position-vertical-relative:page;z-index:-136168" type="#_x0000_t202" filled="false" stroked="false">
          <v:textbox inset="0,0,0,0">
            <w:txbxContent>
              <w:p>
                <w:pPr>
                  <w:spacing w:before="19"/>
                  <w:ind w:left="20" w:right="0" w:firstLine="0"/>
                  <w:jc w:val="left"/>
                  <w:rPr>
                    <w:rFonts w:ascii="Cambria" w:hAnsi="Cambria"/>
                    <w:sz w:val="32"/>
                  </w:rPr>
                </w:pPr>
                <w:r>
                  <w:rPr>
                    <w:rFonts w:ascii="Cambria" w:hAnsi="Cambria"/>
                    <w:sz w:val="32"/>
                  </w:rPr>
                  <w:t>Matériel et Méthodes</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9.425003pt;margin-top:55.619999pt;width:456.55pt;height:4.25pt;mso-position-horizontal-relative:page;mso-position-vertical-relative:page;z-index:-136096" coordorigin="1389,1112" coordsize="9131,85">
          <v:line style="position:absolute" from="1389,1167" to="10520,1167" stroked="true" strokeweight="3pt" strokecolor="#612322">
            <v:stroke dashstyle="solid"/>
          </v:line>
          <v:line style="position:absolute" from="1389,1118" to="10520,1118" stroked="true" strokeweight=".6pt" strokecolor="#612322">
            <v:stroke dashstyle="solid"/>
          </v:line>
          <w10:wrap type="none"/>
        </v:group>
      </w:pict>
    </w:r>
    <w:r>
      <w:rPr/>
      <w:pict>
        <v:shape style="position:absolute;margin-left:71.376343pt;margin-top:35.338497pt;width:82.05pt;height:20.75pt;mso-position-horizontal-relative:page;mso-position-vertical-relative:page;z-index:-136072" type="#_x0000_t202" filled="false" stroked="false">
          <v:textbox inset="0,0,0,0">
            <w:txbxContent>
              <w:p>
                <w:pPr>
                  <w:spacing w:before="19"/>
                  <w:ind w:left="20" w:right="0" w:firstLine="0"/>
                  <w:jc w:val="left"/>
                  <w:rPr>
                    <w:rFonts w:ascii="Cambria"/>
                    <w:sz w:val="32"/>
                  </w:rPr>
                </w:pPr>
                <w:r>
                  <w:rPr>
                    <w:rFonts w:ascii="Cambria"/>
                    <w:sz w:val="32"/>
                  </w:rPr>
                  <w:t>Chapitre 04</w:t>
                </w:r>
              </w:p>
            </w:txbxContent>
          </v:textbox>
          <w10:wrap type="none"/>
        </v:shape>
      </w:pict>
    </w:r>
    <w:r>
      <w:rPr/>
      <w:pict>
        <v:shape style="position:absolute;margin-left:366.482941pt;margin-top:35.338497pt;width:156.8pt;height:20.75pt;mso-position-horizontal-relative:page;mso-position-vertical-relative:page;z-index:-136048" type="#_x0000_t202" filled="false" stroked="false">
          <v:textbox inset="0,0,0,0">
            <w:txbxContent>
              <w:p>
                <w:pPr>
                  <w:spacing w:before="19"/>
                  <w:ind w:left="20" w:right="0" w:firstLine="0"/>
                  <w:jc w:val="left"/>
                  <w:rPr>
                    <w:rFonts w:ascii="Cambria" w:hAnsi="Cambria"/>
                    <w:sz w:val="32"/>
                  </w:rPr>
                </w:pPr>
                <w:r>
                  <w:rPr>
                    <w:rFonts w:ascii="Cambria" w:hAnsi="Cambria"/>
                    <w:sz w:val="32"/>
                  </w:rPr>
                  <w:t>Résultats et discussion</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1">
    <w:multiLevelType w:val="hybridMultilevel"/>
    <w:lvl w:ilvl="0">
      <w:start w:val="1"/>
      <w:numFmt w:val="decimal"/>
      <w:lvlText w:val="%1"/>
      <w:lvlJc w:val="left"/>
      <w:pPr>
        <w:ind w:left="1095" w:hanging="420"/>
        <w:jc w:val="left"/>
      </w:pPr>
      <w:rPr>
        <w:rFonts w:hint="default"/>
        <w:lang w:val="fr-FR" w:eastAsia="fr-FR" w:bidi="fr-FR"/>
      </w:rPr>
    </w:lvl>
    <w:lvl w:ilvl="1">
      <w:start w:val="1"/>
      <w:numFmt w:val="decimal"/>
      <w:lvlText w:val="%1.%2."/>
      <w:lvlJc w:val="left"/>
      <w:pPr>
        <w:ind w:left="1095" w:hanging="420"/>
        <w:jc w:val="left"/>
      </w:pPr>
      <w:rPr>
        <w:rFonts w:hint="default" w:ascii="Times New Roman" w:hAnsi="Times New Roman" w:eastAsia="Times New Roman" w:cs="Times New Roman"/>
        <w:b/>
        <w:bCs/>
        <w:w w:val="100"/>
        <w:sz w:val="24"/>
        <w:szCs w:val="24"/>
        <w:lang w:val="fr-FR" w:eastAsia="fr-FR" w:bidi="fr-FR"/>
      </w:rPr>
    </w:lvl>
    <w:lvl w:ilvl="2">
      <w:start w:val="0"/>
      <w:numFmt w:val="bullet"/>
      <w:lvlText w:val=""/>
      <w:lvlJc w:val="left"/>
      <w:pPr>
        <w:ind w:left="675" w:hanging="360"/>
      </w:pPr>
      <w:rPr>
        <w:rFonts w:hint="default" w:ascii="Symbol" w:hAnsi="Symbol" w:eastAsia="Symbol" w:cs="Symbol"/>
        <w:w w:val="100"/>
        <w:sz w:val="24"/>
        <w:szCs w:val="24"/>
        <w:lang w:val="fr-FR" w:eastAsia="fr-FR" w:bidi="fr-FR"/>
      </w:rPr>
    </w:lvl>
    <w:lvl w:ilvl="3">
      <w:start w:val="0"/>
      <w:numFmt w:val="bullet"/>
      <w:lvlText w:val="•"/>
      <w:lvlJc w:val="left"/>
      <w:pPr>
        <w:ind w:left="3335" w:hanging="360"/>
      </w:pPr>
      <w:rPr>
        <w:rFonts w:hint="default"/>
        <w:lang w:val="fr-FR" w:eastAsia="fr-FR" w:bidi="fr-FR"/>
      </w:rPr>
    </w:lvl>
    <w:lvl w:ilvl="4">
      <w:start w:val="0"/>
      <w:numFmt w:val="bullet"/>
      <w:lvlText w:val="•"/>
      <w:lvlJc w:val="left"/>
      <w:pPr>
        <w:ind w:left="4453" w:hanging="360"/>
      </w:pPr>
      <w:rPr>
        <w:rFonts w:hint="default"/>
        <w:lang w:val="fr-FR" w:eastAsia="fr-FR" w:bidi="fr-FR"/>
      </w:rPr>
    </w:lvl>
    <w:lvl w:ilvl="5">
      <w:start w:val="0"/>
      <w:numFmt w:val="bullet"/>
      <w:lvlText w:val="•"/>
      <w:lvlJc w:val="left"/>
      <w:pPr>
        <w:ind w:left="5571" w:hanging="360"/>
      </w:pPr>
      <w:rPr>
        <w:rFonts w:hint="default"/>
        <w:lang w:val="fr-FR" w:eastAsia="fr-FR" w:bidi="fr-FR"/>
      </w:rPr>
    </w:lvl>
    <w:lvl w:ilvl="6">
      <w:start w:val="0"/>
      <w:numFmt w:val="bullet"/>
      <w:lvlText w:val="•"/>
      <w:lvlJc w:val="left"/>
      <w:pPr>
        <w:ind w:left="6688" w:hanging="360"/>
      </w:pPr>
      <w:rPr>
        <w:rFonts w:hint="default"/>
        <w:lang w:val="fr-FR" w:eastAsia="fr-FR" w:bidi="fr-FR"/>
      </w:rPr>
    </w:lvl>
    <w:lvl w:ilvl="7">
      <w:start w:val="0"/>
      <w:numFmt w:val="bullet"/>
      <w:lvlText w:val="•"/>
      <w:lvlJc w:val="left"/>
      <w:pPr>
        <w:ind w:left="7806" w:hanging="360"/>
      </w:pPr>
      <w:rPr>
        <w:rFonts w:hint="default"/>
        <w:lang w:val="fr-FR" w:eastAsia="fr-FR" w:bidi="fr-FR"/>
      </w:rPr>
    </w:lvl>
    <w:lvl w:ilvl="8">
      <w:start w:val="0"/>
      <w:numFmt w:val="bullet"/>
      <w:lvlText w:val="•"/>
      <w:lvlJc w:val="left"/>
      <w:pPr>
        <w:ind w:left="8924" w:hanging="360"/>
      </w:pPr>
      <w:rPr>
        <w:rFonts w:hint="default"/>
        <w:lang w:val="fr-FR" w:eastAsia="fr-FR" w:bidi="fr-FR"/>
      </w:rPr>
    </w:lvl>
  </w:abstractNum>
  <w:abstractNum w:abstractNumId="30">
    <w:multiLevelType w:val="hybridMultilevel"/>
    <w:lvl w:ilvl="0">
      <w:start w:val="1"/>
      <w:numFmt w:val="decimal"/>
      <w:lvlText w:val="[%1]"/>
      <w:lvlJc w:val="left"/>
      <w:pPr>
        <w:ind w:left="1015" w:hanging="340"/>
        <w:jc w:val="left"/>
      </w:pPr>
      <w:rPr>
        <w:rFonts w:hint="default" w:ascii="Times New Roman" w:hAnsi="Times New Roman" w:eastAsia="Times New Roman" w:cs="Times New Roman"/>
        <w:w w:val="99"/>
        <w:sz w:val="24"/>
        <w:szCs w:val="24"/>
        <w:lang w:val="fr-FR" w:eastAsia="fr-FR" w:bidi="fr-FR"/>
      </w:rPr>
    </w:lvl>
    <w:lvl w:ilvl="1">
      <w:start w:val="1"/>
      <w:numFmt w:val="decimal"/>
      <w:lvlText w:val="%2."/>
      <w:lvlJc w:val="left"/>
      <w:pPr>
        <w:ind w:left="3358" w:hanging="361"/>
        <w:jc w:val="right"/>
      </w:pPr>
      <w:rPr>
        <w:rFonts w:hint="default" w:ascii="Times New Roman" w:hAnsi="Times New Roman" w:eastAsia="Times New Roman" w:cs="Times New Roman"/>
        <w:b/>
        <w:bCs/>
        <w:spacing w:val="-6"/>
        <w:w w:val="99"/>
        <w:sz w:val="28"/>
        <w:szCs w:val="28"/>
        <w:lang w:val="fr-FR" w:eastAsia="fr-FR" w:bidi="fr-FR"/>
      </w:rPr>
    </w:lvl>
    <w:lvl w:ilvl="2">
      <w:start w:val="0"/>
      <w:numFmt w:val="bullet"/>
      <w:lvlText w:val="•"/>
      <w:lvlJc w:val="left"/>
      <w:pPr>
        <w:ind w:left="4226" w:hanging="361"/>
      </w:pPr>
      <w:rPr>
        <w:rFonts w:hint="default"/>
        <w:lang w:val="fr-FR" w:eastAsia="fr-FR" w:bidi="fr-FR"/>
      </w:rPr>
    </w:lvl>
    <w:lvl w:ilvl="3">
      <w:start w:val="0"/>
      <w:numFmt w:val="bullet"/>
      <w:lvlText w:val="•"/>
      <w:lvlJc w:val="left"/>
      <w:pPr>
        <w:ind w:left="5093" w:hanging="361"/>
      </w:pPr>
      <w:rPr>
        <w:rFonts w:hint="default"/>
        <w:lang w:val="fr-FR" w:eastAsia="fr-FR" w:bidi="fr-FR"/>
      </w:rPr>
    </w:lvl>
    <w:lvl w:ilvl="4">
      <w:start w:val="0"/>
      <w:numFmt w:val="bullet"/>
      <w:lvlText w:val="•"/>
      <w:lvlJc w:val="left"/>
      <w:pPr>
        <w:ind w:left="5960" w:hanging="361"/>
      </w:pPr>
      <w:rPr>
        <w:rFonts w:hint="default"/>
        <w:lang w:val="fr-FR" w:eastAsia="fr-FR" w:bidi="fr-FR"/>
      </w:rPr>
    </w:lvl>
    <w:lvl w:ilvl="5">
      <w:start w:val="0"/>
      <w:numFmt w:val="bullet"/>
      <w:lvlText w:val="•"/>
      <w:lvlJc w:val="left"/>
      <w:pPr>
        <w:ind w:left="6826" w:hanging="361"/>
      </w:pPr>
      <w:rPr>
        <w:rFonts w:hint="default"/>
        <w:lang w:val="fr-FR" w:eastAsia="fr-FR" w:bidi="fr-FR"/>
      </w:rPr>
    </w:lvl>
    <w:lvl w:ilvl="6">
      <w:start w:val="0"/>
      <w:numFmt w:val="bullet"/>
      <w:lvlText w:val="•"/>
      <w:lvlJc w:val="left"/>
      <w:pPr>
        <w:ind w:left="7693" w:hanging="361"/>
      </w:pPr>
      <w:rPr>
        <w:rFonts w:hint="default"/>
        <w:lang w:val="fr-FR" w:eastAsia="fr-FR" w:bidi="fr-FR"/>
      </w:rPr>
    </w:lvl>
    <w:lvl w:ilvl="7">
      <w:start w:val="0"/>
      <w:numFmt w:val="bullet"/>
      <w:lvlText w:val="•"/>
      <w:lvlJc w:val="left"/>
      <w:pPr>
        <w:ind w:left="8560" w:hanging="361"/>
      </w:pPr>
      <w:rPr>
        <w:rFonts w:hint="default"/>
        <w:lang w:val="fr-FR" w:eastAsia="fr-FR" w:bidi="fr-FR"/>
      </w:rPr>
    </w:lvl>
    <w:lvl w:ilvl="8">
      <w:start w:val="0"/>
      <w:numFmt w:val="bullet"/>
      <w:lvlText w:val="•"/>
      <w:lvlJc w:val="left"/>
      <w:pPr>
        <w:ind w:left="9426" w:hanging="361"/>
      </w:pPr>
      <w:rPr>
        <w:rFonts w:hint="default"/>
        <w:lang w:val="fr-FR" w:eastAsia="fr-FR" w:bidi="fr-FR"/>
      </w:rPr>
    </w:lvl>
  </w:abstractNum>
  <w:abstractNum w:abstractNumId="29">
    <w:multiLevelType w:val="hybridMultilevel"/>
    <w:lvl w:ilvl="0">
      <w:start w:val="0"/>
      <w:numFmt w:val="bullet"/>
      <w:lvlText w:val="o"/>
      <w:lvlJc w:val="left"/>
      <w:pPr>
        <w:ind w:left="1394" w:hanging="360"/>
      </w:pPr>
      <w:rPr>
        <w:rFonts w:hint="default" w:ascii="Courier New" w:hAnsi="Courier New" w:eastAsia="Courier New" w:cs="Courier New"/>
        <w:w w:val="100"/>
        <w:sz w:val="24"/>
        <w:szCs w:val="24"/>
        <w:lang w:val="fr-FR" w:eastAsia="fr-FR" w:bidi="fr-FR"/>
      </w:rPr>
    </w:lvl>
    <w:lvl w:ilvl="1">
      <w:start w:val="0"/>
      <w:numFmt w:val="bullet"/>
      <w:lvlText w:val="•"/>
      <w:lvlJc w:val="left"/>
      <w:pPr>
        <w:ind w:left="2376" w:hanging="360"/>
      </w:pPr>
      <w:rPr>
        <w:rFonts w:hint="default"/>
        <w:lang w:val="fr-FR" w:eastAsia="fr-FR" w:bidi="fr-FR"/>
      </w:rPr>
    </w:lvl>
    <w:lvl w:ilvl="2">
      <w:start w:val="0"/>
      <w:numFmt w:val="bullet"/>
      <w:lvlText w:val="•"/>
      <w:lvlJc w:val="left"/>
      <w:pPr>
        <w:ind w:left="3352" w:hanging="360"/>
      </w:pPr>
      <w:rPr>
        <w:rFonts w:hint="default"/>
        <w:lang w:val="fr-FR" w:eastAsia="fr-FR" w:bidi="fr-FR"/>
      </w:rPr>
    </w:lvl>
    <w:lvl w:ilvl="3">
      <w:start w:val="0"/>
      <w:numFmt w:val="bullet"/>
      <w:lvlText w:val="•"/>
      <w:lvlJc w:val="left"/>
      <w:pPr>
        <w:ind w:left="4328" w:hanging="360"/>
      </w:pPr>
      <w:rPr>
        <w:rFonts w:hint="default"/>
        <w:lang w:val="fr-FR" w:eastAsia="fr-FR" w:bidi="fr-FR"/>
      </w:rPr>
    </w:lvl>
    <w:lvl w:ilvl="4">
      <w:start w:val="0"/>
      <w:numFmt w:val="bullet"/>
      <w:lvlText w:val="•"/>
      <w:lvlJc w:val="left"/>
      <w:pPr>
        <w:ind w:left="5304" w:hanging="360"/>
      </w:pPr>
      <w:rPr>
        <w:rFonts w:hint="default"/>
        <w:lang w:val="fr-FR" w:eastAsia="fr-FR" w:bidi="fr-FR"/>
      </w:rPr>
    </w:lvl>
    <w:lvl w:ilvl="5">
      <w:start w:val="0"/>
      <w:numFmt w:val="bullet"/>
      <w:lvlText w:val="•"/>
      <w:lvlJc w:val="left"/>
      <w:pPr>
        <w:ind w:left="6280" w:hanging="360"/>
      </w:pPr>
      <w:rPr>
        <w:rFonts w:hint="default"/>
        <w:lang w:val="fr-FR" w:eastAsia="fr-FR" w:bidi="fr-FR"/>
      </w:rPr>
    </w:lvl>
    <w:lvl w:ilvl="6">
      <w:start w:val="0"/>
      <w:numFmt w:val="bullet"/>
      <w:lvlText w:val="•"/>
      <w:lvlJc w:val="left"/>
      <w:pPr>
        <w:ind w:left="7256" w:hanging="360"/>
      </w:pPr>
      <w:rPr>
        <w:rFonts w:hint="default"/>
        <w:lang w:val="fr-FR" w:eastAsia="fr-FR" w:bidi="fr-FR"/>
      </w:rPr>
    </w:lvl>
    <w:lvl w:ilvl="7">
      <w:start w:val="0"/>
      <w:numFmt w:val="bullet"/>
      <w:lvlText w:val="•"/>
      <w:lvlJc w:val="left"/>
      <w:pPr>
        <w:ind w:left="8232" w:hanging="360"/>
      </w:pPr>
      <w:rPr>
        <w:rFonts w:hint="default"/>
        <w:lang w:val="fr-FR" w:eastAsia="fr-FR" w:bidi="fr-FR"/>
      </w:rPr>
    </w:lvl>
    <w:lvl w:ilvl="8">
      <w:start w:val="0"/>
      <w:numFmt w:val="bullet"/>
      <w:lvlText w:val="•"/>
      <w:lvlJc w:val="left"/>
      <w:pPr>
        <w:ind w:left="9208" w:hanging="360"/>
      </w:pPr>
      <w:rPr>
        <w:rFonts w:hint="default"/>
        <w:lang w:val="fr-FR" w:eastAsia="fr-FR" w:bidi="fr-FR"/>
      </w:rPr>
    </w:lvl>
  </w:abstractNum>
  <w:abstractNum w:abstractNumId="28">
    <w:multiLevelType w:val="hybridMultilevel"/>
    <w:lvl w:ilvl="0">
      <w:start w:val="4"/>
      <w:numFmt w:val="upperRoman"/>
      <w:lvlText w:val="%1"/>
      <w:lvlJc w:val="left"/>
      <w:pPr>
        <w:ind w:left="1239" w:hanging="564"/>
        <w:jc w:val="left"/>
      </w:pPr>
      <w:rPr>
        <w:rFonts w:hint="default"/>
        <w:lang w:val="fr-FR" w:eastAsia="fr-FR" w:bidi="fr-FR"/>
      </w:rPr>
    </w:lvl>
    <w:lvl w:ilvl="1">
      <w:start w:val="2"/>
      <w:numFmt w:val="decimal"/>
      <w:lvlText w:val="%1.%2."/>
      <w:lvlJc w:val="left"/>
      <w:pPr>
        <w:ind w:left="1239" w:hanging="564"/>
        <w:jc w:val="left"/>
      </w:pPr>
      <w:rPr>
        <w:rFonts w:hint="default" w:ascii="Times New Roman" w:hAnsi="Times New Roman" w:eastAsia="Times New Roman" w:cs="Times New Roman"/>
        <w:b/>
        <w:bCs/>
        <w:spacing w:val="-2"/>
        <w:w w:val="99"/>
        <w:sz w:val="24"/>
        <w:szCs w:val="24"/>
        <w:lang w:val="fr-FR" w:eastAsia="fr-FR" w:bidi="fr-FR"/>
      </w:rPr>
    </w:lvl>
    <w:lvl w:ilvl="2">
      <w:start w:val="1"/>
      <w:numFmt w:val="decimal"/>
      <w:lvlText w:val="%1.%2.%3."/>
      <w:lvlJc w:val="left"/>
      <w:pPr>
        <w:ind w:left="1419" w:hanging="744"/>
        <w:jc w:val="left"/>
      </w:pPr>
      <w:rPr>
        <w:rFonts w:hint="default" w:ascii="Times New Roman" w:hAnsi="Times New Roman" w:eastAsia="Times New Roman" w:cs="Times New Roman"/>
        <w:b/>
        <w:bCs/>
        <w:spacing w:val="-2"/>
        <w:w w:val="99"/>
        <w:sz w:val="24"/>
        <w:szCs w:val="24"/>
        <w:lang w:val="fr-FR" w:eastAsia="fr-FR" w:bidi="fr-FR"/>
      </w:rPr>
    </w:lvl>
    <w:lvl w:ilvl="3">
      <w:start w:val="0"/>
      <w:numFmt w:val="bullet"/>
      <w:lvlText w:val=""/>
      <w:lvlJc w:val="left"/>
      <w:pPr>
        <w:ind w:left="1394" w:hanging="360"/>
      </w:pPr>
      <w:rPr>
        <w:rFonts w:hint="default" w:ascii="Wingdings" w:hAnsi="Wingdings" w:eastAsia="Wingdings" w:cs="Wingdings"/>
        <w:w w:val="100"/>
        <w:sz w:val="24"/>
        <w:szCs w:val="24"/>
        <w:lang w:val="fr-FR" w:eastAsia="fr-FR" w:bidi="fr-FR"/>
      </w:rPr>
    </w:lvl>
    <w:lvl w:ilvl="4">
      <w:start w:val="0"/>
      <w:numFmt w:val="bullet"/>
      <w:lvlText w:val=""/>
      <w:lvlJc w:val="left"/>
      <w:pPr>
        <w:ind w:left="1514" w:hanging="360"/>
      </w:pPr>
      <w:rPr>
        <w:rFonts w:hint="default" w:ascii="Wingdings" w:hAnsi="Wingdings" w:eastAsia="Wingdings" w:cs="Wingdings"/>
        <w:w w:val="100"/>
        <w:sz w:val="24"/>
        <w:szCs w:val="24"/>
        <w:lang w:val="fr-FR" w:eastAsia="fr-FR" w:bidi="fr-FR"/>
      </w:rPr>
    </w:lvl>
    <w:lvl w:ilvl="5">
      <w:start w:val="0"/>
      <w:numFmt w:val="bullet"/>
      <w:lvlText w:val="•"/>
      <w:lvlJc w:val="left"/>
      <w:pPr>
        <w:ind w:left="4274" w:hanging="360"/>
      </w:pPr>
      <w:rPr>
        <w:rFonts w:hint="default"/>
        <w:lang w:val="fr-FR" w:eastAsia="fr-FR" w:bidi="fr-FR"/>
      </w:rPr>
    </w:lvl>
    <w:lvl w:ilvl="6">
      <w:start w:val="0"/>
      <w:numFmt w:val="bullet"/>
      <w:lvlText w:val="•"/>
      <w:lvlJc w:val="left"/>
      <w:pPr>
        <w:ind w:left="5651" w:hanging="360"/>
      </w:pPr>
      <w:rPr>
        <w:rFonts w:hint="default"/>
        <w:lang w:val="fr-FR" w:eastAsia="fr-FR" w:bidi="fr-FR"/>
      </w:rPr>
    </w:lvl>
    <w:lvl w:ilvl="7">
      <w:start w:val="0"/>
      <w:numFmt w:val="bullet"/>
      <w:lvlText w:val="•"/>
      <w:lvlJc w:val="left"/>
      <w:pPr>
        <w:ind w:left="7028" w:hanging="360"/>
      </w:pPr>
      <w:rPr>
        <w:rFonts w:hint="default"/>
        <w:lang w:val="fr-FR" w:eastAsia="fr-FR" w:bidi="fr-FR"/>
      </w:rPr>
    </w:lvl>
    <w:lvl w:ilvl="8">
      <w:start w:val="0"/>
      <w:numFmt w:val="bullet"/>
      <w:lvlText w:val="•"/>
      <w:lvlJc w:val="left"/>
      <w:pPr>
        <w:ind w:left="8405" w:hanging="360"/>
      </w:pPr>
      <w:rPr>
        <w:rFonts w:hint="default"/>
        <w:lang w:val="fr-FR" w:eastAsia="fr-FR" w:bidi="fr-FR"/>
      </w:rPr>
    </w:lvl>
  </w:abstractNum>
  <w:abstractNum w:abstractNumId="27">
    <w:multiLevelType w:val="hybridMultilevel"/>
    <w:lvl w:ilvl="0">
      <w:start w:val="4"/>
      <w:numFmt w:val="upperRoman"/>
      <w:lvlText w:val="%1"/>
      <w:lvlJc w:val="left"/>
      <w:pPr>
        <w:ind w:left="1538" w:hanging="864"/>
        <w:jc w:val="left"/>
      </w:pPr>
      <w:rPr>
        <w:rFonts w:hint="default"/>
        <w:lang w:val="fr-FR" w:eastAsia="fr-FR" w:bidi="fr-FR"/>
      </w:rPr>
    </w:lvl>
    <w:lvl w:ilvl="1">
      <w:start w:val="1"/>
      <w:numFmt w:val="decimal"/>
      <w:lvlText w:val="%1.%2"/>
      <w:lvlJc w:val="left"/>
      <w:pPr>
        <w:ind w:left="1538" w:hanging="864"/>
        <w:jc w:val="left"/>
      </w:pPr>
      <w:rPr>
        <w:rFonts w:hint="default"/>
        <w:lang w:val="fr-FR" w:eastAsia="fr-FR" w:bidi="fr-FR"/>
      </w:rPr>
    </w:lvl>
    <w:lvl w:ilvl="2">
      <w:start w:val="17"/>
      <w:numFmt w:val="decimal"/>
      <w:lvlText w:val="%1.%2.%3."/>
      <w:lvlJc w:val="left"/>
      <w:pPr>
        <w:ind w:left="1538" w:hanging="864"/>
        <w:jc w:val="left"/>
      </w:pPr>
      <w:rPr>
        <w:rFonts w:hint="default" w:ascii="Times New Roman" w:hAnsi="Times New Roman" w:eastAsia="Times New Roman" w:cs="Times New Roman"/>
        <w:b/>
        <w:bCs/>
        <w:spacing w:val="-2"/>
        <w:w w:val="99"/>
        <w:sz w:val="24"/>
        <w:szCs w:val="24"/>
        <w:lang w:val="fr-FR" w:eastAsia="fr-FR" w:bidi="fr-FR"/>
      </w:rPr>
    </w:lvl>
    <w:lvl w:ilvl="3">
      <w:start w:val="0"/>
      <w:numFmt w:val="bullet"/>
      <w:lvlText w:val="•"/>
      <w:lvlJc w:val="left"/>
      <w:pPr>
        <w:ind w:left="4426" w:hanging="864"/>
      </w:pPr>
      <w:rPr>
        <w:rFonts w:hint="default"/>
        <w:lang w:val="fr-FR" w:eastAsia="fr-FR" w:bidi="fr-FR"/>
      </w:rPr>
    </w:lvl>
    <w:lvl w:ilvl="4">
      <w:start w:val="0"/>
      <w:numFmt w:val="bullet"/>
      <w:lvlText w:val="•"/>
      <w:lvlJc w:val="left"/>
      <w:pPr>
        <w:ind w:left="5388" w:hanging="864"/>
      </w:pPr>
      <w:rPr>
        <w:rFonts w:hint="default"/>
        <w:lang w:val="fr-FR" w:eastAsia="fr-FR" w:bidi="fr-FR"/>
      </w:rPr>
    </w:lvl>
    <w:lvl w:ilvl="5">
      <w:start w:val="0"/>
      <w:numFmt w:val="bullet"/>
      <w:lvlText w:val="•"/>
      <w:lvlJc w:val="left"/>
      <w:pPr>
        <w:ind w:left="6350" w:hanging="864"/>
      </w:pPr>
      <w:rPr>
        <w:rFonts w:hint="default"/>
        <w:lang w:val="fr-FR" w:eastAsia="fr-FR" w:bidi="fr-FR"/>
      </w:rPr>
    </w:lvl>
    <w:lvl w:ilvl="6">
      <w:start w:val="0"/>
      <w:numFmt w:val="bullet"/>
      <w:lvlText w:val="•"/>
      <w:lvlJc w:val="left"/>
      <w:pPr>
        <w:ind w:left="7312" w:hanging="864"/>
      </w:pPr>
      <w:rPr>
        <w:rFonts w:hint="default"/>
        <w:lang w:val="fr-FR" w:eastAsia="fr-FR" w:bidi="fr-FR"/>
      </w:rPr>
    </w:lvl>
    <w:lvl w:ilvl="7">
      <w:start w:val="0"/>
      <w:numFmt w:val="bullet"/>
      <w:lvlText w:val="•"/>
      <w:lvlJc w:val="left"/>
      <w:pPr>
        <w:ind w:left="8274" w:hanging="864"/>
      </w:pPr>
      <w:rPr>
        <w:rFonts w:hint="default"/>
        <w:lang w:val="fr-FR" w:eastAsia="fr-FR" w:bidi="fr-FR"/>
      </w:rPr>
    </w:lvl>
    <w:lvl w:ilvl="8">
      <w:start w:val="0"/>
      <w:numFmt w:val="bullet"/>
      <w:lvlText w:val="•"/>
      <w:lvlJc w:val="left"/>
      <w:pPr>
        <w:ind w:left="9236" w:hanging="864"/>
      </w:pPr>
      <w:rPr>
        <w:rFonts w:hint="default"/>
        <w:lang w:val="fr-FR" w:eastAsia="fr-FR" w:bidi="fr-FR"/>
      </w:rPr>
    </w:lvl>
  </w:abstractNum>
  <w:abstractNum w:abstractNumId="26">
    <w:multiLevelType w:val="hybridMultilevel"/>
    <w:lvl w:ilvl="0">
      <w:start w:val="4"/>
      <w:numFmt w:val="upperRoman"/>
      <w:lvlText w:val="%1"/>
      <w:lvlJc w:val="left"/>
      <w:pPr>
        <w:ind w:left="1418" w:hanging="744"/>
        <w:jc w:val="left"/>
      </w:pPr>
      <w:rPr>
        <w:rFonts w:hint="default"/>
        <w:lang w:val="fr-FR" w:eastAsia="fr-FR" w:bidi="fr-FR"/>
      </w:rPr>
    </w:lvl>
    <w:lvl w:ilvl="1">
      <w:start w:val="1"/>
      <w:numFmt w:val="decimal"/>
      <w:lvlText w:val="%1.%2"/>
      <w:lvlJc w:val="left"/>
      <w:pPr>
        <w:ind w:left="1418" w:hanging="744"/>
        <w:jc w:val="left"/>
      </w:pPr>
      <w:rPr>
        <w:rFonts w:hint="default"/>
        <w:lang w:val="fr-FR" w:eastAsia="fr-FR" w:bidi="fr-FR"/>
      </w:rPr>
    </w:lvl>
    <w:lvl w:ilvl="2">
      <w:start w:val="7"/>
      <w:numFmt w:val="decimal"/>
      <w:lvlText w:val="%1.%2.%3."/>
      <w:lvlJc w:val="left"/>
      <w:pPr>
        <w:ind w:left="1418" w:hanging="744"/>
        <w:jc w:val="left"/>
      </w:pPr>
      <w:rPr>
        <w:rFonts w:hint="default" w:ascii="Times New Roman" w:hAnsi="Times New Roman" w:eastAsia="Times New Roman" w:cs="Times New Roman"/>
        <w:b/>
        <w:bCs/>
        <w:spacing w:val="-2"/>
        <w:w w:val="99"/>
        <w:sz w:val="24"/>
        <w:szCs w:val="24"/>
        <w:lang w:val="fr-FR" w:eastAsia="fr-FR" w:bidi="fr-FR"/>
      </w:rPr>
    </w:lvl>
    <w:lvl w:ilvl="3">
      <w:start w:val="0"/>
      <w:numFmt w:val="bullet"/>
      <w:lvlText w:val="•"/>
      <w:lvlJc w:val="left"/>
      <w:pPr>
        <w:ind w:left="4342" w:hanging="744"/>
      </w:pPr>
      <w:rPr>
        <w:rFonts w:hint="default"/>
        <w:lang w:val="fr-FR" w:eastAsia="fr-FR" w:bidi="fr-FR"/>
      </w:rPr>
    </w:lvl>
    <w:lvl w:ilvl="4">
      <w:start w:val="0"/>
      <w:numFmt w:val="bullet"/>
      <w:lvlText w:val="•"/>
      <w:lvlJc w:val="left"/>
      <w:pPr>
        <w:ind w:left="5316" w:hanging="744"/>
      </w:pPr>
      <w:rPr>
        <w:rFonts w:hint="default"/>
        <w:lang w:val="fr-FR" w:eastAsia="fr-FR" w:bidi="fr-FR"/>
      </w:rPr>
    </w:lvl>
    <w:lvl w:ilvl="5">
      <w:start w:val="0"/>
      <w:numFmt w:val="bullet"/>
      <w:lvlText w:val="•"/>
      <w:lvlJc w:val="left"/>
      <w:pPr>
        <w:ind w:left="6290" w:hanging="744"/>
      </w:pPr>
      <w:rPr>
        <w:rFonts w:hint="default"/>
        <w:lang w:val="fr-FR" w:eastAsia="fr-FR" w:bidi="fr-FR"/>
      </w:rPr>
    </w:lvl>
    <w:lvl w:ilvl="6">
      <w:start w:val="0"/>
      <w:numFmt w:val="bullet"/>
      <w:lvlText w:val="•"/>
      <w:lvlJc w:val="left"/>
      <w:pPr>
        <w:ind w:left="7264" w:hanging="744"/>
      </w:pPr>
      <w:rPr>
        <w:rFonts w:hint="default"/>
        <w:lang w:val="fr-FR" w:eastAsia="fr-FR" w:bidi="fr-FR"/>
      </w:rPr>
    </w:lvl>
    <w:lvl w:ilvl="7">
      <w:start w:val="0"/>
      <w:numFmt w:val="bullet"/>
      <w:lvlText w:val="•"/>
      <w:lvlJc w:val="left"/>
      <w:pPr>
        <w:ind w:left="8238" w:hanging="744"/>
      </w:pPr>
      <w:rPr>
        <w:rFonts w:hint="default"/>
        <w:lang w:val="fr-FR" w:eastAsia="fr-FR" w:bidi="fr-FR"/>
      </w:rPr>
    </w:lvl>
    <w:lvl w:ilvl="8">
      <w:start w:val="0"/>
      <w:numFmt w:val="bullet"/>
      <w:lvlText w:val="•"/>
      <w:lvlJc w:val="left"/>
      <w:pPr>
        <w:ind w:left="9212" w:hanging="744"/>
      </w:pPr>
      <w:rPr>
        <w:rFonts w:hint="default"/>
        <w:lang w:val="fr-FR" w:eastAsia="fr-FR" w:bidi="fr-FR"/>
      </w:rPr>
    </w:lvl>
  </w:abstractNum>
  <w:abstractNum w:abstractNumId="25">
    <w:multiLevelType w:val="hybridMultilevel"/>
    <w:lvl w:ilvl="0">
      <w:start w:val="4"/>
      <w:numFmt w:val="upperRoman"/>
      <w:lvlText w:val="%1"/>
      <w:lvlJc w:val="left"/>
      <w:pPr>
        <w:ind w:left="1180" w:hanging="505"/>
        <w:jc w:val="left"/>
      </w:pPr>
      <w:rPr>
        <w:rFonts w:hint="default"/>
        <w:lang w:val="fr-FR" w:eastAsia="fr-FR" w:bidi="fr-FR"/>
      </w:rPr>
    </w:lvl>
    <w:lvl w:ilvl="1">
      <w:start w:val="1"/>
      <w:numFmt w:val="decimal"/>
      <w:lvlText w:val="%1.%2."/>
      <w:lvlJc w:val="left"/>
      <w:pPr>
        <w:ind w:left="1180" w:hanging="505"/>
        <w:jc w:val="left"/>
      </w:pPr>
      <w:rPr>
        <w:rFonts w:hint="default" w:ascii="Times New Roman" w:hAnsi="Times New Roman" w:eastAsia="Times New Roman" w:cs="Times New Roman"/>
        <w:b/>
        <w:bCs/>
        <w:spacing w:val="-8"/>
        <w:w w:val="99"/>
        <w:sz w:val="22"/>
        <w:szCs w:val="22"/>
        <w:lang w:val="fr-FR" w:eastAsia="fr-FR" w:bidi="fr-FR"/>
      </w:rPr>
    </w:lvl>
    <w:lvl w:ilvl="2">
      <w:start w:val="1"/>
      <w:numFmt w:val="decimal"/>
      <w:lvlText w:val="%1.%2.%3."/>
      <w:lvlJc w:val="left"/>
      <w:pPr>
        <w:ind w:left="1419" w:hanging="744"/>
        <w:jc w:val="left"/>
      </w:pPr>
      <w:rPr>
        <w:rFonts w:hint="default" w:ascii="Times New Roman" w:hAnsi="Times New Roman" w:eastAsia="Times New Roman" w:cs="Times New Roman"/>
        <w:b/>
        <w:bCs/>
        <w:spacing w:val="-2"/>
        <w:w w:val="99"/>
        <w:sz w:val="24"/>
        <w:szCs w:val="24"/>
        <w:lang w:val="fr-FR" w:eastAsia="fr-FR" w:bidi="fr-FR"/>
      </w:rPr>
    </w:lvl>
    <w:lvl w:ilvl="3">
      <w:start w:val="0"/>
      <w:numFmt w:val="bullet"/>
      <w:lvlText w:val="•"/>
      <w:lvlJc w:val="left"/>
      <w:pPr>
        <w:ind w:left="3584" w:hanging="744"/>
      </w:pPr>
      <w:rPr>
        <w:rFonts w:hint="default"/>
        <w:lang w:val="fr-FR" w:eastAsia="fr-FR" w:bidi="fr-FR"/>
      </w:rPr>
    </w:lvl>
    <w:lvl w:ilvl="4">
      <w:start w:val="0"/>
      <w:numFmt w:val="bullet"/>
      <w:lvlText w:val="•"/>
      <w:lvlJc w:val="left"/>
      <w:pPr>
        <w:ind w:left="4666" w:hanging="744"/>
      </w:pPr>
      <w:rPr>
        <w:rFonts w:hint="default"/>
        <w:lang w:val="fr-FR" w:eastAsia="fr-FR" w:bidi="fr-FR"/>
      </w:rPr>
    </w:lvl>
    <w:lvl w:ilvl="5">
      <w:start w:val="0"/>
      <w:numFmt w:val="bullet"/>
      <w:lvlText w:val="•"/>
      <w:lvlJc w:val="left"/>
      <w:pPr>
        <w:ind w:left="5748" w:hanging="744"/>
      </w:pPr>
      <w:rPr>
        <w:rFonts w:hint="default"/>
        <w:lang w:val="fr-FR" w:eastAsia="fr-FR" w:bidi="fr-FR"/>
      </w:rPr>
    </w:lvl>
    <w:lvl w:ilvl="6">
      <w:start w:val="0"/>
      <w:numFmt w:val="bullet"/>
      <w:lvlText w:val="•"/>
      <w:lvlJc w:val="left"/>
      <w:pPr>
        <w:ind w:left="6831" w:hanging="744"/>
      </w:pPr>
      <w:rPr>
        <w:rFonts w:hint="default"/>
        <w:lang w:val="fr-FR" w:eastAsia="fr-FR" w:bidi="fr-FR"/>
      </w:rPr>
    </w:lvl>
    <w:lvl w:ilvl="7">
      <w:start w:val="0"/>
      <w:numFmt w:val="bullet"/>
      <w:lvlText w:val="•"/>
      <w:lvlJc w:val="left"/>
      <w:pPr>
        <w:ind w:left="7913" w:hanging="744"/>
      </w:pPr>
      <w:rPr>
        <w:rFonts w:hint="default"/>
        <w:lang w:val="fr-FR" w:eastAsia="fr-FR" w:bidi="fr-FR"/>
      </w:rPr>
    </w:lvl>
    <w:lvl w:ilvl="8">
      <w:start w:val="0"/>
      <w:numFmt w:val="bullet"/>
      <w:lvlText w:val="•"/>
      <w:lvlJc w:val="left"/>
      <w:pPr>
        <w:ind w:left="8995" w:hanging="744"/>
      </w:pPr>
      <w:rPr>
        <w:rFonts w:hint="default"/>
        <w:lang w:val="fr-FR" w:eastAsia="fr-FR" w:bidi="fr-FR"/>
      </w:rPr>
    </w:lvl>
  </w:abstractNum>
  <w:abstractNum w:abstractNumId="24">
    <w:multiLevelType w:val="hybridMultilevel"/>
    <w:lvl w:ilvl="0">
      <w:start w:val="3"/>
      <w:numFmt w:val="upperRoman"/>
      <w:lvlText w:val="%1"/>
      <w:lvlJc w:val="left"/>
      <w:pPr>
        <w:ind w:left="1430" w:hanging="756"/>
        <w:jc w:val="left"/>
      </w:pPr>
      <w:rPr>
        <w:rFonts w:hint="default"/>
        <w:lang w:val="fr-FR" w:eastAsia="fr-FR" w:bidi="fr-FR"/>
      </w:rPr>
    </w:lvl>
    <w:lvl w:ilvl="1">
      <w:start w:val="4"/>
      <w:numFmt w:val="decimal"/>
      <w:lvlText w:val="%1.%2"/>
      <w:lvlJc w:val="left"/>
      <w:pPr>
        <w:ind w:left="1430" w:hanging="756"/>
        <w:jc w:val="left"/>
      </w:pPr>
      <w:rPr>
        <w:rFonts w:hint="default"/>
        <w:lang w:val="fr-FR" w:eastAsia="fr-FR" w:bidi="fr-FR"/>
      </w:rPr>
    </w:lvl>
    <w:lvl w:ilvl="2">
      <w:start w:val="1"/>
      <w:numFmt w:val="decimal"/>
      <w:lvlText w:val="%1.%2.%3."/>
      <w:lvlJc w:val="left"/>
      <w:pPr>
        <w:ind w:left="1430" w:hanging="756"/>
        <w:jc w:val="left"/>
      </w:pPr>
      <w:rPr>
        <w:rFonts w:hint="default" w:ascii="Times New Roman" w:hAnsi="Times New Roman" w:eastAsia="Times New Roman" w:cs="Times New Roman"/>
        <w:b/>
        <w:bCs/>
        <w:spacing w:val="-6"/>
        <w:w w:val="99"/>
        <w:sz w:val="24"/>
        <w:szCs w:val="24"/>
        <w:lang w:val="fr-FR" w:eastAsia="fr-FR" w:bidi="fr-FR"/>
      </w:rPr>
    </w:lvl>
    <w:lvl w:ilvl="3">
      <w:start w:val="0"/>
      <w:numFmt w:val="bullet"/>
      <w:lvlText w:val=""/>
      <w:lvlJc w:val="left"/>
      <w:pPr>
        <w:ind w:left="1394" w:hanging="360"/>
      </w:pPr>
      <w:rPr>
        <w:rFonts w:hint="default" w:ascii="Symbol" w:hAnsi="Symbol" w:eastAsia="Symbol" w:cs="Symbol"/>
        <w:w w:val="100"/>
        <w:sz w:val="24"/>
        <w:szCs w:val="24"/>
        <w:lang w:val="fr-FR" w:eastAsia="fr-FR" w:bidi="fr-FR"/>
      </w:rPr>
    </w:lvl>
    <w:lvl w:ilvl="4">
      <w:start w:val="0"/>
      <w:numFmt w:val="bullet"/>
      <w:lvlText w:val="•"/>
      <w:lvlJc w:val="left"/>
      <w:pPr>
        <w:ind w:left="4680" w:hanging="360"/>
      </w:pPr>
      <w:rPr>
        <w:rFonts w:hint="default"/>
        <w:lang w:val="fr-FR" w:eastAsia="fr-FR" w:bidi="fr-FR"/>
      </w:rPr>
    </w:lvl>
    <w:lvl w:ilvl="5">
      <w:start w:val="0"/>
      <w:numFmt w:val="bullet"/>
      <w:lvlText w:val="•"/>
      <w:lvlJc w:val="left"/>
      <w:pPr>
        <w:ind w:left="5760" w:hanging="360"/>
      </w:pPr>
      <w:rPr>
        <w:rFonts w:hint="default"/>
        <w:lang w:val="fr-FR" w:eastAsia="fr-FR" w:bidi="fr-FR"/>
      </w:rPr>
    </w:lvl>
    <w:lvl w:ilvl="6">
      <w:start w:val="0"/>
      <w:numFmt w:val="bullet"/>
      <w:lvlText w:val="•"/>
      <w:lvlJc w:val="left"/>
      <w:pPr>
        <w:ind w:left="6840" w:hanging="360"/>
      </w:pPr>
      <w:rPr>
        <w:rFonts w:hint="default"/>
        <w:lang w:val="fr-FR" w:eastAsia="fr-FR" w:bidi="fr-FR"/>
      </w:rPr>
    </w:lvl>
    <w:lvl w:ilvl="7">
      <w:start w:val="0"/>
      <w:numFmt w:val="bullet"/>
      <w:lvlText w:val="•"/>
      <w:lvlJc w:val="left"/>
      <w:pPr>
        <w:ind w:left="7920" w:hanging="360"/>
      </w:pPr>
      <w:rPr>
        <w:rFonts w:hint="default"/>
        <w:lang w:val="fr-FR" w:eastAsia="fr-FR" w:bidi="fr-FR"/>
      </w:rPr>
    </w:lvl>
    <w:lvl w:ilvl="8">
      <w:start w:val="0"/>
      <w:numFmt w:val="bullet"/>
      <w:lvlText w:val="•"/>
      <w:lvlJc w:val="left"/>
      <w:pPr>
        <w:ind w:left="9000" w:hanging="360"/>
      </w:pPr>
      <w:rPr>
        <w:rFonts w:hint="default"/>
        <w:lang w:val="fr-FR" w:eastAsia="fr-FR" w:bidi="fr-FR"/>
      </w:rPr>
    </w:lvl>
  </w:abstractNum>
  <w:abstractNum w:abstractNumId="23">
    <w:multiLevelType w:val="hybridMultilevel"/>
    <w:lvl w:ilvl="0">
      <w:start w:val="3"/>
      <w:numFmt w:val="upperRoman"/>
      <w:lvlText w:val="%1"/>
      <w:lvlJc w:val="left"/>
      <w:pPr>
        <w:ind w:left="1251" w:hanging="576"/>
        <w:jc w:val="left"/>
      </w:pPr>
      <w:rPr>
        <w:rFonts w:hint="default"/>
        <w:lang w:val="fr-FR" w:eastAsia="fr-FR" w:bidi="fr-FR"/>
      </w:rPr>
    </w:lvl>
    <w:lvl w:ilvl="1">
      <w:start w:val="4"/>
      <w:numFmt w:val="decimal"/>
      <w:lvlText w:val="%1.%2."/>
      <w:lvlJc w:val="left"/>
      <w:pPr>
        <w:ind w:left="1251" w:hanging="576"/>
        <w:jc w:val="left"/>
      </w:pPr>
      <w:rPr>
        <w:rFonts w:hint="default" w:ascii="Times New Roman" w:hAnsi="Times New Roman" w:eastAsia="Times New Roman" w:cs="Times New Roman"/>
        <w:b/>
        <w:bCs/>
        <w:spacing w:val="-6"/>
        <w:w w:val="99"/>
        <w:sz w:val="24"/>
        <w:szCs w:val="24"/>
        <w:lang w:val="fr-FR" w:eastAsia="fr-FR" w:bidi="fr-FR"/>
      </w:rPr>
    </w:lvl>
    <w:lvl w:ilvl="2">
      <w:start w:val="0"/>
      <w:numFmt w:val="bullet"/>
      <w:lvlText w:val=""/>
      <w:lvlJc w:val="left"/>
      <w:pPr>
        <w:ind w:left="1394" w:hanging="360"/>
      </w:pPr>
      <w:rPr>
        <w:rFonts w:hint="default" w:ascii="Symbol" w:hAnsi="Symbol" w:eastAsia="Symbol" w:cs="Symbol"/>
        <w:w w:val="100"/>
        <w:sz w:val="24"/>
        <w:szCs w:val="24"/>
        <w:lang w:val="fr-FR" w:eastAsia="fr-FR" w:bidi="fr-FR"/>
      </w:rPr>
    </w:lvl>
    <w:lvl w:ilvl="3">
      <w:start w:val="0"/>
      <w:numFmt w:val="bullet"/>
      <w:lvlText w:val="•"/>
      <w:lvlJc w:val="left"/>
      <w:pPr>
        <w:ind w:left="3568" w:hanging="360"/>
      </w:pPr>
      <w:rPr>
        <w:rFonts w:hint="default"/>
        <w:lang w:val="fr-FR" w:eastAsia="fr-FR" w:bidi="fr-FR"/>
      </w:rPr>
    </w:lvl>
    <w:lvl w:ilvl="4">
      <w:start w:val="0"/>
      <w:numFmt w:val="bullet"/>
      <w:lvlText w:val="•"/>
      <w:lvlJc w:val="left"/>
      <w:pPr>
        <w:ind w:left="4653" w:hanging="360"/>
      </w:pPr>
      <w:rPr>
        <w:rFonts w:hint="default"/>
        <w:lang w:val="fr-FR" w:eastAsia="fr-FR" w:bidi="fr-FR"/>
      </w:rPr>
    </w:lvl>
    <w:lvl w:ilvl="5">
      <w:start w:val="0"/>
      <w:numFmt w:val="bullet"/>
      <w:lvlText w:val="•"/>
      <w:lvlJc w:val="left"/>
      <w:pPr>
        <w:ind w:left="5737" w:hanging="360"/>
      </w:pPr>
      <w:rPr>
        <w:rFonts w:hint="default"/>
        <w:lang w:val="fr-FR" w:eastAsia="fr-FR" w:bidi="fr-FR"/>
      </w:rPr>
    </w:lvl>
    <w:lvl w:ilvl="6">
      <w:start w:val="0"/>
      <w:numFmt w:val="bullet"/>
      <w:lvlText w:val="•"/>
      <w:lvlJc w:val="left"/>
      <w:pPr>
        <w:ind w:left="6822" w:hanging="360"/>
      </w:pPr>
      <w:rPr>
        <w:rFonts w:hint="default"/>
        <w:lang w:val="fr-FR" w:eastAsia="fr-FR" w:bidi="fr-FR"/>
      </w:rPr>
    </w:lvl>
    <w:lvl w:ilvl="7">
      <w:start w:val="0"/>
      <w:numFmt w:val="bullet"/>
      <w:lvlText w:val="•"/>
      <w:lvlJc w:val="left"/>
      <w:pPr>
        <w:ind w:left="7906" w:hanging="360"/>
      </w:pPr>
      <w:rPr>
        <w:rFonts w:hint="default"/>
        <w:lang w:val="fr-FR" w:eastAsia="fr-FR" w:bidi="fr-FR"/>
      </w:rPr>
    </w:lvl>
    <w:lvl w:ilvl="8">
      <w:start w:val="0"/>
      <w:numFmt w:val="bullet"/>
      <w:lvlText w:val="•"/>
      <w:lvlJc w:val="left"/>
      <w:pPr>
        <w:ind w:left="8991" w:hanging="360"/>
      </w:pPr>
      <w:rPr>
        <w:rFonts w:hint="default"/>
        <w:lang w:val="fr-FR" w:eastAsia="fr-FR" w:bidi="fr-FR"/>
      </w:rPr>
    </w:lvl>
  </w:abstractNum>
  <w:abstractNum w:abstractNumId="22">
    <w:multiLevelType w:val="hybridMultilevel"/>
    <w:lvl w:ilvl="0">
      <w:start w:val="3"/>
      <w:numFmt w:val="upperRoman"/>
      <w:lvlText w:val="%1"/>
      <w:lvlJc w:val="left"/>
      <w:pPr>
        <w:ind w:left="1354" w:hanging="679"/>
        <w:jc w:val="left"/>
      </w:pPr>
      <w:rPr>
        <w:rFonts w:hint="default"/>
        <w:lang w:val="fr-FR" w:eastAsia="fr-FR" w:bidi="fr-FR"/>
      </w:rPr>
    </w:lvl>
    <w:lvl w:ilvl="1">
      <w:start w:val="3"/>
      <w:numFmt w:val="decimal"/>
      <w:lvlText w:val="%1.%2."/>
      <w:lvlJc w:val="left"/>
      <w:pPr>
        <w:ind w:left="1354" w:hanging="679"/>
        <w:jc w:val="left"/>
      </w:pPr>
      <w:rPr>
        <w:rFonts w:hint="default" w:ascii="Times New Roman" w:hAnsi="Times New Roman" w:eastAsia="Times New Roman" w:cs="Times New Roman"/>
        <w:b/>
        <w:bCs/>
        <w:spacing w:val="-1"/>
        <w:w w:val="99"/>
        <w:sz w:val="28"/>
        <w:szCs w:val="28"/>
        <w:lang w:val="fr-FR" w:eastAsia="fr-FR" w:bidi="fr-FR"/>
      </w:rPr>
    </w:lvl>
    <w:lvl w:ilvl="2">
      <w:start w:val="1"/>
      <w:numFmt w:val="decimal"/>
      <w:lvlText w:val="%1.%2.%3."/>
      <w:lvlJc w:val="left"/>
      <w:pPr>
        <w:ind w:left="1430" w:hanging="756"/>
        <w:jc w:val="left"/>
      </w:pPr>
      <w:rPr>
        <w:rFonts w:hint="default" w:ascii="Times New Roman" w:hAnsi="Times New Roman" w:eastAsia="Times New Roman" w:cs="Times New Roman"/>
        <w:b/>
        <w:bCs/>
        <w:spacing w:val="-2"/>
        <w:w w:val="99"/>
        <w:sz w:val="24"/>
        <w:szCs w:val="24"/>
        <w:lang w:val="fr-FR" w:eastAsia="fr-FR" w:bidi="fr-FR"/>
      </w:rPr>
    </w:lvl>
    <w:lvl w:ilvl="3">
      <w:start w:val="0"/>
      <w:numFmt w:val="bullet"/>
      <w:lvlText w:val="•"/>
      <w:lvlJc w:val="left"/>
      <w:pPr>
        <w:ind w:left="2777" w:hanging="756"/>
      </w:pPr>
      <w:rPr>
        <w:rFonts w:hint="default"/>
        <w:lang w:val="fr-FR" w:eastAsia="fr-FR" w:bidi="fr-FR"/>
      </w:rPr>
    </w:lvl>
    <w:lvl w:ilvl="4">
      <w:start w:val="0"/>
      <w:numFmt w:val="bullet"/>
      <w:lvlText w:val="•"/>
      <w:lvlJc w:val="left"/>
      <w:pPr>
        <w:ind w:left="3975" w:hanging="756"/>
      </w:pPr>
      <w:rPr>
        <w:rFonts w:hint="default"/>
        <w:lang w:val="fr-FR" w:eastAsia="fr-FR" w:bidi="fr-FR"/>
      </w:rPr>
    </w:lvl>
    <w:lvl w:ilvl="5">
      <w:start w:val="0"/>
      <w:numFmt w:val="bullet"/>
      <w:lvlText w:val="•"/>
      <w:lvlJc w:val="left"/>
      <w:pPr>
        <w:ind w:left="5172" w:hanging="756"/>
      </w:pPr>
      <w:rPr>
        <w:rFonts w:hint="default"/>
        <w:lang w:val="fr-FR" w:eastAsia="fr-FR" w:bidi="fr-FR"/>
      </w:rPr>
    </w:lvl>
    <w:lvl w:ilvl="6">
      <w:start w:val="0"/>
      <w:numFmt w:val="bullet"/>
      <w:lvlText w:val="•"/>
      <w:lvlJc w:val="left"/>
      <w:pPr>
        <w:ind w:left="6370" w:hanging="756"/>
      </w:pPr>
      <w:rPr>
        <w:rFonts w:hint="default"/>
        <w:lang w:val="fr-FR" w:eastAsia="fr-FR" w:bidi="fr-FR"/>
      </w:rPr>
    </w:lvl>
    <w:lvl w:ilvl="7">
      <w:start w:val="0"/>
      <w:numFmt w:val="bullet"/>
      <w:lvlText w:val="•"/>
      <w:lvlJc w:val="left"/>
      <w:pPr>
        <w:ind w:left="7567" w:hanging="756"/>
      </w:pPr>
      <w:rPr>
        <w:rFonts w:hint="default"/>
        <w:lang w:val="fr-FR" w:eastAsia="fr-FR" w:bidi="fr-FR"/>
      </w:rPr>
    </w:lvl>
    <w:lvl w:ilvl="8">
      <w:start w:val="0"/>
      <w:numFmt w:val="bullet"/>
      <w:lvlText w:val="•"/>
      <w:lvlJc w:val="left"/>
      <w:pPr>
        <w:ind w:left="8765" w:hanging="756"/>
      </w:pPr>
      <w:rPr>
        <w:rFonts w:hint="default"/>
        <w:lang w:val="fr-FR" w:eastAsia="fr-FR" w:bidi="fr-FR"/>
      </w:rPr>
    </w:lvl>
  </w:abstractNum>
  <w:abstractNum w:abstractNumId="21">
    <w:multiLevelType w:val="hybridMultilevel"/>
    <w:lvl w:ilvl="0">
      <w:start w:val="3"/>
      <w:numFmt w:val="upperRoman"/>
      <w:lvlText w:val="%1"/>
      <w:lvlJc w:val="left"/>
      <w:pPr>
        <w:ind w:left="1371" w:hanging="697"/>
        <w:jc w:val="left"/>
      </w:pPr>
      <w:rPr>
        <w:rFonts w:hint="default"/>
        <w:lang w:val="fr-FR" w:eastAsia="fr-FR" w:bidi="fr-FR"/>
      </w:rPr>
    </w:lvl>
    <w:lvl w:ilvl="1">
      <w:start w:val="2"/>
      <w:numFmt w:val="decimal"/>
      <w:lvlText w:val="%1.%2"/>
      <w:lvlJc w:val="left"/>
      <w:pPr>
        <w:ind w:left="1371" w:hanging="697"/>
        <w:jc w:val="left"/>
      </w:pPr>
      <w:rPr>
        <w:rFonts w:hint="default"/>
        <w:lang w:val="fr-FR" w:eastAsia="fr-FR" w:bidi="fr-FR"/>
      </w:rPr>
    </w:lvl>
    <w:lvl w:ilvl="2">
      <w:start w:val="1"/>
      <w:numFmt w:val="decimal"/>
      <w:lvlText w:val="%1.%2.%3."/>
      <w:lvlJc w:val="left"/>
      <w:pPr>
        <w:ind w:left="1371" w:hanging="697"/>
        <w:jc w:val="left"/>
      </w:pPr>
      <w:rPr>
        <w:rFonts w:hint="default" w:ascii="Times New Roman" w:hAnsi="Times New Roman" w:eastAsia="Times New Roman" w:cs="Times New Roman"/>
        <w:b/>
        <w:bCs/>
        <w:spacing w:val="-2"/>
        <w:w w:val="99"/>
        <w:sz w:val="22"/>
        <w:szCs w:val="22"/>
        <w:lang w:val="fr-FR" w:eastAsia="fr-FR" w:bidi="fr-FR"/>
      </w:rPr>
    </w:lvl>
    <w:lvl w:ilvl="3">
      <w:start w:val="0"/>
      <w:numFmt w:val="bullet"/>
      <w:lvlText w:val="•"/>
      <w:lvlJc w:val="left"/>
      <w:pPr>
        <w:ind w:left="4314" w:hanging="697"/>
      </w:pPr>
      <w:rPr>
        <w:rFonts w:hint="default"/>
        <w:lang w:val="fr-FR" w:eastAsia="fr-FR" w:bidi="fr-FR"/>
      </w:rPr>
    </w:lvl>
    <w:lvl w:ilvl="4">
      <w:start w:val="0"/>
      <w:numFmt w:val="bullet"/>
      <w:lvlText w:val="•"/>
      <w:lvlJc w:val="left"/>
      <w:pPr>
        <w:ind w:left="5292" w:hanging="697"/>
      </w:pPr>
      <w:rPr>
        <w:rFonts w:hint="default"/>
        <w:lang w:val="fr-FR" w:eastAsia="fr-FR" w:bidi="fr-FR"/>
      </w:rPr>
    </w:lvl>
    <w:lvl w:ilvl="5">
      <w:start w:val="0"/>
      <w:numFmt w:val="bullet"/>
      <w:lvlText w:val="•"/>
      <w:lvlJc w:val="left"/>
      <w:pPr>
        <w:ind w:left="6270" w:hanging="697"/>
      </w:pPr>
      <w:rPr>
        <w:rFonts w:hint="default"/>
        <w:lang w:val="fr-FR" w:eastAsia="fr-FR" w:bidi="fr-FR"/>
      </w:rPr>
    </w:lvl>
    <w:lvl w:ilvl="6">
      <w:start w:val="0"/>
      <w:numFmt w:val="bullet"/>
      <w:lvlText w:val="•"/>
      <w:lvlJc w:val="left"/>
      <w:pPr>
        <w:ind w:left="7248" w:hanging="697"/>
      </w:pPr>
      <w:rPr>
        <w:rFonts w:hint="default"/>
        <w:lang w:val="fr-FR" w:eastAsia="fr-FR" w:bidi="fr-FR"/>
      </w:rPr>
    </w:lvl>
    <w:lvl w:ilvl="7">
      <w:start w:val="0"/>
      <w:numFmt w:val="bullet"/>
      <w:lvlText w:val="•"/>
      <w:lvlJc w:val="left"/>
      <w:pPr>
        <w:ind w:left="8226" w:hanging="697"/>
      </w:pPr>
      <w:rPr>
        <w:rFonts w:hint="default"/>
        <w:lang w:val="fr-FR" w:eastAsia="fr-FR" w:bidi="fr-FR"/>
      </w:rPr>
    </w:lvl>
    <w:lvl w:ilvl="8">
      <w:start w:val="0"/>
      <w:numFmt w:val="bullet"/>
      <w:lvlText w:val="•"/>
      <w:lvlJc w:val="left"/>
      <w:pPr>
        <w:ind w:left="9204" w:hanging="697"/>
      </w:pPr>
      <w:rPr>
        <w:rFonts w:hint="default"/>
        <w:lang w:val="fr-FR" w:eastAsia="fr-FR" w:bidi="fr-FR"/>
      </w:rPr>
    </w:lvl>
  </w:abstractNum>
  <w:abstractNum w:abstractNumId="20">
    <w:multiLevelType w:val="hybridMultilevel"/>
    <w:lvl w:ilvl="0">
      <w:start w:val="3"/>
      <w:numFmt w:val="upperRoman"/>
      <w:lvlText w:val="%1"/>
      <w:lvlJc w:val="left"/>
      <w:pPr>
        <w:ind w:left="1354" w:hanging="679"/>
        <w:jc w:val="left"/>
      </w:pPr>
      <w:rPr>
        <w:rFonts w:hint="default"/>
        <w:lang w:val="fr-FR" w:eastAsia="fr-FR" w:bidi="fr-FR"/>
      </w:rPr>
    </w:lvl>
    <w:lvl w:ilvl="1">
      <w:start w:val="1"/>
      <w:numFmt w:val="decimal"/>
      <w:lvlText w:val="%1.%2."/>
      <w:lvlJc w:val="left"/>
      <w:pPr>
        <w:ind w:left="1354" w:hanging="679"/>
        <w:jc w:val="left"/>
      </w:pPr>
      <w:rPr>
        <w:rFonts w:hint="default"/>
        <w:b/>
        <w:bCs/>
        <w:spacing w:val="-1"/>
        <w:w w:val="99"/>
        <w:lang w:val="fr-FR" w:eastAsia="fr-FR" w:bidi="fr-FR"/>
      </w:rPr>
    </w:lvl>
    <w:lvl w:ilvl="2">
      <w:start w:val="1"/>
      <w:numFmt w:val="lowerLetter"/>
      <w:lvlText w:val="%3)"/>
      <w:lvlJc w:val="left"/>
      <w:pPr>
        <w:ind w:left="2570" w:hanging="360"/>
        <w:jc w:val="left"/>
      </w:pPr>
      <w:rPr>
        <w:rFonts w:hint="default" w:ascii="Times New Roman" w:hAnsi="Times New Roman" w:eastAsia="Times New Roman" w:cs="Times New Roman"/>
        <w:b/>
        <w:bCs/>
        <w:color w:val="1B1B1B"/>
        <w:spacing w:val="-21"/>
        <w:w w:val="99"/>
        <w:sz w:val="24"/>
        <w:szCs w:val="24"/>
        <w:lang w:val="fr-FR" w:eastAsia="fr-FR" w:bidi="fr-FR"/>
      </w:rPr>
    </w:lvl>
    <w:lvl w:ilvl="3">
      <w:start w:val="0"/>
      <w:numFmt w:val="bullet"/>
      <w:lvlText w:val="•"/>
      <w:lvlJc w:val="left"/>
      <w:pPr>
        <w:ind w:left="4486" w:hanging="360"/>
      </w:pPr>
      <w:rPr>
        <w:rFonts w:hint="default"/>
        <w:lang w:val="fr-FR" w:eastAsia="fr-FR" w:bidi="fr-FR"/>
      </w:rPr>
    </w:lvl>
    <w:lvl w:ilvl="4">
      <w:start w:val="0"/>
      <w:numFmt w:val="bullet"/>
      <w:lvlText w:val="•"/>
      <w:lvlJc w:val="left"/>
      <w:pPr>
        <w:ind w:left="5440" w:hanging="360"/>
      </w:pPr>
      <w:rPr>
        <w:rFonts w:hint="default"/>
        <w:lang w:val="fr-FR" w:eastAsia="fr-FR" w:bidi="fr-FR"/>
      </w:rPr>
    </w:lvl>
    <w:lvl w:ilvl="5">
      <w:start w:val="0"/>
      <w:numFmt w:val="bullet"/>
      <w:lvlText w:val="•"/>
      <w:lvlJc w:val="left"/>
      <w:pPr>
        <w:ind w:left="6393" w:hanging="360"/>
      </w:pPr>
      <w:rPr>
        <w:rFonts w:hint="default"/>
        <w:lang w:val="fr-FR" w:eastAsia="fr-FR" w:bidi="fr-FR"/>
      </w:rPr>
    </w:lvl>
    <w:lvl w:ilvl="6">
      <w:start w:val="0"/>
      <w:numFmt w:val="bullet"/>
      <w:lvlText w:val="•"/>
      <w:lvlJc w:val="left"/>
      <w:pPr>
        <w:ind w:left="7346" w:hanging="360"/>
      </w:pPr>
      <w:rPr>
        <w:rFonts w:hint="default"/>
        <w:lang w:val="fr-FR" w:eastAsia="fr-FR" w:bidi="fr-FR"/>
      </w:rPr>
    </w:lvl>
    <w:lvl w:ilvl="7">
      <w:start w:val="0"/>
      <w:numFmt w:val="bullet"/>
      <w:lvlText w:val="•"/>
      <w:lvlJc w:val="left"/>
      <w:pPr>
        <w:ind w:left="8300" w:hanging="360"/>
      </w:pPr>
      <w:rPr>
        <w:rFonts w:hint="default"/>
        <w:lang w:val="fr-FR" w:eastAsia="fr-FR" w:bidi="fr-FR"/>
      </w:rPr>
    </w:lvl>
    <w:lvl w:ilvl="8">
      <w:start w:val="0"/>
      <w:numFmt w:val="bullet"/>
      <w:lvlText w:val="•"/>
      <w:lvlJc w:val="left"/>
      <w:pPr>
        <w:ind w:left="9253" w:hanging="360"/>
      </w:pPr>
      <w:rPr>
        <w:rFonts w:hint="default"/>
        <w:lang w:val="fr-FR" w:eastAsia="fr-FR" w:bidi="fr-FR"/>
      </w:rPr>
    </w:lvl>
  </w:abstractNum>
  <w:abstractNum w:abstractNumId="19">
    <w:multiLevelType w:val="hybridMultilevel"/>
    <w:lvl w:ilvl="0">
      <w:start w:val="2"/>
      <w:numFmt w:val="upperRoman"/>
      <w:lvlText w:val="%1"/>
      <w:lvlJc w:val="left"/>
      <w:pPr>
        <w:ind w:left="1159" w:hanging="484"/>
        <w:jc w:val="left"/>
      </w:pPr>
      <w:rPr>
        <w:rFonts w:hint="default"/>
        <w:lang w:val="fr-FR" w:eastAsia="fr-FR" w:bidi="fr-FR"/>
      </w:rPr>
    </w:lvl>
    <w:lvl w:ilvl="1">
      <w:start w:val="2"/>
      <w:numFmt w:val="decimal"/>
      <w:lvlText w:val="%1.%2."/>
      <w:lvlJc w:val="left"/>
      <w:pPr>
        <w:ind w:left="1159" w:hanging="484"/>
        <w:jc w:val="left"/>
      </w:pPr>
      <w:rPr>
        <w:rFonts w:hint="default" w:ascii="Times New Roman" w:hAnsi="Times New Roman" w:eastAsia="Times New Roman" w:cs="Times New Roman"/>
        <w:b/>
        <w:bCs/>
        <w:spacing w:val="-2"/>
        <w:w w:val="99"/>
        <w:sz w:val="24"/>
        <w:szCs w:val="24"/>
        <w:lang w:val="fr-FR" w:eastAsia="fr-FR" w:bidi="fr-FR"/>
      </w:rPr>
    </w:lvl>
    <w:lvl w:ilvl="2">
      <w:start w:val="1"/>
      <w:numFmt w:val="decimal"/>
      <w:lvlText w:val="%1.%2.%3."/>
      <w:lvlJc w:val="left"/>
      <w:pPr>
        <w:ind w:left="1339" w:hanging="664"/>
        <w:jc w:val="left"/>
      </w:pPr>
      <w:rPr>
        <w:rFonts w:hint="default" w:ascii="Times New Roman" w:hAnsi="Times New Roman" w:eastAsia="Times New Roman" w:cs="Times New Roman"/>
        <w:b/>
        <w:bCs/>
        <w:spacing w:val="-2"/>
        <w:w w:val="99"/>
        <w:sz w:val="24"/>
        <w:szCs w:val="24"/>
        <w:lang w:val="fr-FR" w:eastAsia="fr-FR" w:bidi="fr-FR"/>
      </w:rPr>
    </w:lvl>
    <w:lvl w:ilvl="3">
      <w:start w:val="1"/>
      <w:numFmt w:val="decimal"/>
      <w:lvlText w:val="%1.%2.%3.%4."/>
      <w:lvlJc w:val="left"/>
      <w:pPr>
        <w:ind w:left="1518" w:hanging="844"/>
        <w:jc w:val="left"/>
      </w:pPr>
      <w:rPr>
        <w:rFonts w:hint="default" w:ascii="Times New Roman" w:hAnsi="Times New Roman" w:eastAsia="Times New Roman" w:cs="Times New Roman"/>
        <w:b/>
        <w:bCs/>
        <w:spacing w:val="-2"/>
        <w:w w:val="99"/>
        <w:sz w:val="24"/>
        <w:szCs w:val="24"/>
        <w:lang w:val="fr-FR" w:eastAsia="fr-FR" w:bidi="fr-FR"/>
      </w:rPr>
    </w:lvl>
    <w:lvl w:ilvl="4">
      <w:start w:val="0"/>
      <w:numFmt w:val="bullet"/>
      <w:lvlText w:val="•"/>
      <w:lvlJc w:val="left"/>
      <w:pPr>
        <w:ind w:left="3930" w:hanging="844"/>
      </w:pPr>
      <w:rPr>
        <w:rFonts w:hint="default"/>
        <w:lang w:val="fr-FR" w:eastAsia="fr-FR" w:bidi="fr-FR"/>
      </w:rPr>
    </w:lvl>
    <w:lvl w:ilvl="5">
      <w:start w:val="0"/>
      <w:numFmt w:val="bullet"/>
      <w:lvlText w:val="•"/>
      <w:lvlJc w:val="left"/>
      <w:pPr>
        <w:ind w:left="5135" w:hanging="844"/>
      </w:pPr>
      <w:rPr>
        <w:rFonts w:hint="default"/>
        <w:lang w:val="fr-FR" w:eastAsia="fr-FR" w:bidi="fr-FR"/>
      </w:rPr>
    </w:lvl>
    <w:lvl w:ilvl="6">
      <w:start w:val="0"/>
      <w:numFmt w:val="bullet"/>
      <w:lvlText w:val="•"/>
      <w:lvlJc w:val="left"/>
      <w:pPr>
        <w:ind w:left="6340" w:hanging="844"/>
      </w:pPr>
      <w:rPr>
        <w:rFonts w:hint="default"/>
        <w:lang w:val="fr-FR" w:eastAsia="fr-FR" w:bidi="fr-FR"/>
      </w:rPr>
    </w:lvl>
    <w:lvl w:ilvl="7">
      <w:start w:val="0"/>
      <w:numFmt w:val="bullet"/>
      <w:lvlText w:val="•"/>
      <w:lvlJc w:val="left"/>
      <w:pPr>
        <w:ind w:left="7545" w:hanging="844"/>
      </w:pPr>
      <w:rPr>
        <w:rFonts w:hint="default"/>
        <w:lang w:val="fr-FR" w:eastAsia="fr-FR" w:bidi="fr-FR"/>
      </w:rPr>
    </w:lvl>
    <w:lvl w:ilvl="8">
      <w:start w:val="0"/>
      <w:numFmt w:val="bullet"/>
      <w:lvlText w:val="•"/>
      <w:lvlJc w:val="left"/>
      <w:pPr>
        <w:ind w:left="8750" w:hanging="844"/>
      </w:pPr>
      <w:rPr>
        <w:rFonts w:hint="default"/>
        <w:lang w:val="fr-FR" w:eastAsia="fr-FR" w:bidi="fr-FR"/>
      </w:rPr>
    </w:lvl>
  </w:abstractNum>
  <w:abstractNum w:abstractNumId="18">
    <w:multiLevelType w:val="hybridMultilevel"/>
    <w:lvl w:ilvl="0">
      <w:start w:val="0"/>
      <w:numFmt w:val="bullet"/>
      <w:lvlText w:val="-"/>
      <w:lvlJc w:val="left"/>
      <w:pPr>
        <w:ind w:left="819" w:hanging="144"/>
      </w:pPr>
      <w:rPr>
        <w:rFonts w:hint="default" w:ascii="Times New Roman" w:hAnsi="Times New Roman" w:eastAsia="Times New Roman" w:cs="Times New Roman"/>
        <w:w w:val="99"/>
        <w:sz w:val="24"/>
        <w:szCs w:val="24"/>
        <w:lang w:val="fr-FR" w:eastAsia="fr-FR" w:bidi="fr-FR"/>
      </w:rPr>
    </w:lvl>
    <w:lvl w:ilvl="1">
      <w:start w:val="0"/>
      <w:numFmt w:val="bullet"/>
      <w:lvlText w:val="•"/>
      <w:lvlJc w:val="left"/>
      <w:pPr>
        <w:ind w:left="1854" w:hanging="144"/>
      </w:pPr>
      <w:rPr>
        <w:rFonts w:hint="default"/>
        <w:lang w:val="fr-FR" w:eastAsia="fr-FR" w:bidi="fr-FR"/>
      </w:rPr>
    </w:lvl>
    <w:lvl w:ilvl="2">
      <w:start w:val="0"/>
      <w:numFmt w:val="bullet"/>
      <w:lvlText w:val="•"/>
      <w:lvlJc w:val="left"/>
      <w:pPr>
        <w:ind w:left="2888" w:hanging="144"/>
      </w:pPr>
      <w:rPr>
        <w:rFonts w:hint="default"/>
        <w:lang w:val="fr-FR" w:eastAsia="fr-FR" w:bidi="fr-FR"/>
      </w:rPr>
    </w:lvl>
    <w:lvl w:ilvl="3">
      <w:start w:val="0"/>
      <w:numFmt w:val="bullet"/>
      <w:lvlText w:val="•"/>
      <w:lvlJc w:val="left"/>
      <w:pPr>
        <w:ind w:left="3922" w:hanging="144"/>
      </w:pPr>
      <w:rPr>
        <w:rFonts w:hint="default"/>
        <w:lang w:val="fr-FR" w:eastAsia="fr-FR" w:bidi="fr-FR"/>
      </w:rPr>
    </w:lvl>
    <w:lvl w:ilvl="4">
      <w:start w:val="0"/>
      <w:numFmt w:val="bullet"/>
      <w:lvlText w:val="•"/>
      <w:lvlJc w:val="left"/>
      <w:pPr>
        <w:ind w:left="4956" w:hanging="144"/>
      </w:pPr>
      <w:rPr>
        <w:rFonts w:hint="default"/>
        <w:lang w:val="fr-FR" w:eastAsia="fr-FR" w:bidi="fr-FR"/>
      </w:rPr>
    </w:lvl>
    <w:lvl w:ilvl="5">
      <w:start w:val="0"/>
      <w:numFmt w:val="bullet"/>
      <w:lvlText w:val="•"/>
      <w:lvlJc w:val="left"/>
      <w:pPr>
        <w:ind w:left="5990" w:hanging="144"/>
      </w:pPr>
      <w:rPr>
        <w:rFonts w:hint="default"/>
        <w:lang w:val="fr-FR" w:eastAsia="fr-FR" w:bidi="fr-FR"/>
      </w:rPr>
    </w:lvl>
    <w:lvl w:ilvl="6">
      <w:start w:val="0"/>
      <w:numFmt w:val="bullet"/>
      <w:lvlText w:val="•"/>
      <w:lvlJc w:val="left"/>
      <w:pPr>
        <w:ind w:left="7024" w:hanging="144"/>
      </w:pPr>
      <w:rPr>
        <w:rFonts w:hint="default"/>
        <w:lang w:val="fr-FR" w:eastAsia="fr-FR" w:bidi="fr-FR"/>
      </w:rPr>
    </w:lvl>
    <w:lvl w:ilvl="7">
      <w:start w:val="0"/>
      <w:numFmt w:val="bullet"/>
      <w:lvlText w:val="•"/>
      <w:lvlJc w:val="left"/>
      <w:pPr>
        <w:ind w:left="8058" w:hanging="144"/>
      </w:pPr>
      <w:rPr>
        <w:rFonts w:hint="default"/>
        <w:lang w:val="fr-FR" w:eastAsia="fr-FR" w:bidi="fr-FR"/>
      </w:rPr>
    </w:lvl>
    <w:lvl w:ilvl="8">
      <w:start w:val="0"/>
      <w:numFmt w:val="bullet"/>
      <w:lvlText w:val="•"/>
      <w:lvlJc w:val="left"/>
      <w:pPr>
        <w:ind w:left="9092" w:hanging="144"/>
      </w:pPr>
      <w:rPr>
        <w:rFonts w:hint="default"/>
        <w:lang w:val="fr-FR" w:eastAsia="fr-FR" w:bidi="fr-FR"/>
      </w:rPr>
    </w:lvl>
  </w:abstractNum>
  <w:abstractNum w:abstractNumId="17">
    <w:multiLevelType w:val="hybridMultilevel"/>
    <w:lvl w:ilvl="0">
      <w:start w:val="2"/>
      <w:numFmt w:val="upperRoman"/>
      <w:lvlText w:val="%1"/>
      <w:lvlJc w:val="left"/>
      <w:pPr>
        <w:ind w:left="1159" w:hanging="484"/>
        <w:jc w:val="left"/>
      </w:pPr>
      <w:rPr>
        <w:rFonts w:hint="default"/>
        <w:lang w:val="fr-FR" w:eastAsia="fr-FR" w:bidi="fr-FR"/>
      </w:rPr>
    </w:lvl>
    <w:lvl w:ilvl="1">
      <w:start w:val="1"/>
      <w:numFmt w:val="decimal"/>
      <w:lvlText w:val="%1.%2."/>
      <w:lvlJc w:val="left"/>
      <w:pPr>
        <w:ind w:left="1159" w:hanging="484"/>
        <w:jc w:val="left"/>
      </w:pPr>
      <w:rPr>
        <w:rFonts w:hint="default" w:ascii="Times New Roman" w:hAnsi="Times New Roman" w:eastAsia="Times New Roman" w:cs="Times New Roman"/>
        <w:b/>
        <w:bCs/>
        <w:spacing w:val="-2"/>
        <w:w w:val="99"/>
        <w:sz w:val="24"/>
        <w:szCs w:val="24"/>
        <w:lang w:val="fr-FR" w:eastAsia="fr-FR" w:bidi="fr-FR"/>
      </w:rPr>
    </w:lvl>
    <w:lvl w:ilvl="2">
      <w:start w:val="1"/>
      <w:numFmt w:val="decimal"/>
      <w:lvlText w:val="%1.%2.%3."/>
      <w:lvlJc w:val="left"/>
      <w:pPr>
        <w:ind w:left="1339" w:hanging="664"/>
        <w:jc w:val="left"/>
      </w:pPr>
      <w:rPr>
        <w:rFonts w:hint="default" w:ascii="Times New Roman" w:hAnsi="Times New Roman" w:eastAsia="Times New Roman" w:cs="Times New Roman"/>
        <w:b/>
        <w:bCs/>
        <w:spacing w:val="-2"/>
        <w:w w:val="99"/>
        <w:sz w:val="24"/>
        <w:szCs w:val="24"/>
        <w:lang w:val="fr-FR" w:eastAsia="fr-FR" w:bidi="fr-FR"/>
      </w:rPr>
    </w:lvl>
    <w:lvl w:ilvl="3">
      <w:start w:val="2"/>
      <w:numFmt w:val="decimal"/>
      <w:lvlText w:val="%1.%2.%3.%4."/>
      <w:lvlJc w:val="left"/>
      <w:pPr>
        <w:ind w:left="1518" w:hanging="844"/>
        <w:jc w:val="left"/>
      </w:pPr>
      <w:rPr>
        <w:rFonts w:hint="default" w:ascii="Times New Roman" w:hAnsi="Times New Roman" w:eastAsia="Times New Roman" w:cs="Times New Roman"/>
        <w:b/>
        <w:bCs/>
        <w:spacing w:val="-6"/>
        <w:w w:val="99"/>
        <w:sz w:val="24"/>
        <w:szCs w:val="24"/>
        <w:lang w:val="fr-FR" w:eastAsia="fr-FR" w:bidi="fr-FR"/>
      </w:rPr>
    </w:lvl>
    <w:lvl w:ilvl="4">
      <w:start w:val="0"/>
      <w:numFmt w:val="bullet"/>
      <w:lvlText w:val="•"/>
      <w:lvlJc w:val="left"/>
      <w:pPr>
        <w:ind w:left="3930" w:hanging="844"/>
      </w:pPr>
      <w:rPr>
        <w:rFonts w:hint="default"/>
        <w:lang w:val="fr-FR" w:eastAsia="fr-FR" w:bidi="fr-FR"/>
      </w:rPr>
    </w:lvl>
    <w:lvl w:ilvl="5">
      <w:start w:val="0"/>
      <w:numFmt w:val="bullet"/>
      <w:lvlText w:val="•"/>
      <w:lvlJc w:val="left"/>
      <w:pPr>
        <w:ind w:left="5135" w:hanging="844"/>
      </w:pPr>
      <w:rPr>
        <w:rFonts w:hint="default"/>
        <w:lang w:val="fr-FR" w:eastAsia="fr-FR" w:bidi="fr-FR"/>
      </w:rPr>
    </w:lvl>
    <w:lvl w:ilvl="6">
      <w:start w:val="0"/>
      <w:numFmt w:val="bullet"/>
      <w:lvlText w:val="•"/>
      <w:lvlJc w:val="left"/>
      <w:pPr>
        <w:ind w:left="6340" w:hanging="844"/>
      </w:pPr>
      <w:rPr>
        <w:rFonts w:hint="default"/>
        <w:lang w:val="fr-FR" w:eastAsia="fr-FR" w:bidi="fr-FR"/>
      </w:rPr>
    </w:lvl>
    <w:lvl w:ilvl="7">
      <w:start w:val="0"/>
      <w:numFmt w:val="bullet"/>
      <w:lvlText w:val="•"/>
      <w:lvlJc w:val="left"/>
      <w:pPr>
        <w:ind w:left="7545" w:hanging="844"/>
      </w:pPr>
      <w:rPr>
        <w:rFonts w:hint="default"/>
        <w:lang w:val="fr-FR" w:eastAsia="fr-FR" w:bidi="fr-FR"/>
      </w:rPr>
    </w:lvl>
    <w:lvl w:ilvl="8">
      <w:start w:val="0"/>
      <w:numFmt w:val="bullet"/>
      <w:lvlText w:val="•"/>
      <w:lvlJc w:val="left"/>
      <w:pPr>
        <w:ind w:left="8750" w:hanging="844"/>
      </w:pPr>
      <w:rPr>
        <w:rFonts w:hint="default"/>
        <w:lang w:val="fr-FR" w:eastAsia="fr-FR" w:bidi="fr-FR"/>
      </w:rPr>
    </w:lvl>
  </w:abstractNum>
  <w:abstractNum w:abstractNumId="16">
    <w:multiLevelType w:val="hybridMultilevel"/>
    <w:lvl w:ilvl="0">
      <w:start w:val="0"/>
      <w:numFmt w:val="bullet"/>
      <w:lvlText w:val=""/>
      <w:lvlJc w:val="left"/>
      <w:pPr>
        <w:ind w:left="1394" w:hanging="360"/>
      </w:pPr>
      <w:rPr>
        <w:rFonts w:hint="default"/>
        <w:w w:val="100"/>
        <w:lang w:val="fr-FR" w:eastAsia="fr-FR" w:bidi="fr-FR"/>
      </w:rPr>
    </w:lvl>
    <w:lvl w:ilvl="1">
      <w:start w:val="0"/>
      <w:numFmt w:val="bullet"/>
      <w:lvlText w:val="•"/>
      <w:lvlJc w:val="left"/>
      <w:pPr>
        <w:ind w:left="2376" w:hanging="360"/>
      </w:pPr>
      <w:rPr>
        <w:rFonts w:hint="default"/>
        <w:lang w:val="fr-FR" w:eastAsia="fr-FR" w:bidi="fr-FR"/>
      </w:rPr>
    </w:lvl>
    <w:lvl w:ilvl="2">
      <w:start w:val="0"/>
      <w:numFmt w:val="bullet"/>
      <w:lvlText w:val="•"/>
      <w:lvlJc w:val="left"/>
      <w:pPr>
        <w:ind w:left="3352" w:hanging="360"/>
      </w:pPr>
      <w:rPr>
        <w:rFonts w:hint="default"/>
        <w:lang w:val="fr-FR" w:eastAsia="fr-FR" w:bidi="fr-FR"/>
      </w:rPr>
    </w:lvl>
    <w:lvl w:ilvl="3">
      <w:start w:val="0"/>
      <w:numFmt w:val="bullet"/>
      <w:lvlText w:val="•"/>
      <w:lvlJc w:val="left"/>
      <w:pPr>
        <w:ind w:left="4328" w:hanging="360"/>
      </w:pPr>
      <w:rPr>
        <w:rFonts w:hint="default"/>
        <w:lang w:val="fr-FR" w:eastAsia="fr-FR" w:bidi="fr-FR"/>
      </w:rPr>
    </w:lvl>
    <w:lvl w:ilvl="4">
      <w:start w:val="0"/>
      <w:numFmt w:val="bullet"/>
      <w:lvlText w:val="•"/>
      <w:lvlJc w:val="left"/>
      <w:pPr>
        <w:ind w:left="5304" w:hanging="360"/>
      </w:pPr>
      <w:rPr>
        <w:rFonts w:hint="default"/>
        <w:lang w:val="fr-FR" w:eastAsia="fr-FR" w:bidi="fr-FR"/>
      </w:rPr>
    </w:lvl>
    <w:lvl w:ilvl="5">
      <w:start w:val="0"/>
      <w:numFmt w:val="bullet"/>
      <w:lvlText w:val="•"/>
      <w:lvlJc w:val="left"/>
      <w:pPr>
        <w:ind w:left="6280" w:hanging="360"/>
      </w:pPr>
      <w:rPr>
        <w:rFonts w:hint="default"/>
        <w:lang w:val="fr-FR" w:eastAsia="fr-FR" w:bidi="fr-FR"/>
      </w:rPr>
    </w:lvl>
    <w:lvl w:ilvl="6">
      <w:start w:val="0"/>
      <w:numFmt w:val="bullet"/>
      <w:lvlText w:val="•"/>
      <w:lvlJc w:val="left"/>
      <w:pPr>
        <w:ind w:left="7256" w:hanging="360"/>
      </w:pPr>
      <w:rPr>
        <w:rFonts w:hint="default"/>
        <w:lang w:val="fr-FR" w:eastAsia="fr-FR" w:bidi="fr-FR"/>
      </w:rPr>
    </w:lvl>
    <w:lvl w:ilvl="7">
      <w:start w:val="0"/>
      <w:numFmt w:val="bullet"/>
      <w:lvlText w:val="•"/>
      <w:lvlJc w:val="left"/>
      <w:pPr>
        <w:ind w:left="8232" w:hanging="360"/>
      </w:pPr>
      <w:rPr>
        <w:rFonts w:hint="default"/>
        <w:lang w:val="fr-FR" w:eastAsia="fr-FR" w:bidi="fr-FR"/>
      </w:rPr>
    </w:lvl>
    <w:lvl w:ilvl="8">
      <w:start w:val="0"/>
      <w:numFmt w:val="bullet"/>
      <w:lvlText w:val="•"/>
      <w:lvlJc w:val="left"/>
      <w:pPr>
        <w:ind w:left="9208" w:hanging="360"/>
      </w:pPr>
      <w:rPr>
        <w:rFonts w:hint="default"/>
        <w:lang w:val="fr-FR" w:eastAsia="fr-FR" w:bidi="fr-FR"/>
      </w:rPr>
    </w:lvl>
  </w:abstractNum>
  <w:abstractNum w:abstractNumId="15">
    <w:multiLevelType w:val="hybridMultilevel"/>
    <w:lvl w:ilvl="0">
      <w:start w:val="1"/>
      <w:numFmt w:val="upperRoman"/>
      <w:lvlText w:val="%1"/>
      <w:lvlJc w:val="left"/>
      <w:pPr>
        <w:ind w:left="1067" w:hanging="392"/>
        <w:jc w:val="left"/>
      </w:pPr>
      <w:rPr>
        <w:rFonts w:hint="default"/>
        <w:lang w:val="fr-FR" w:eastAsia="fr-FR" w:bidi="fr-FR"/>
      </w:rPr>
    </w:lvl>
    <w:lvl w:ilvl="1">
      <w:start w:val="5"/>
      <w:numFmt w:val="decimal"/>
      <w:lvlText w:val="%1.%2."/>
      <w:lvlJc w:val="left"/>
      <w:pPr>
        <w:ind w:left="1067" w:hanging="392"/>
        <w:jc w:val="left"/>
      </w:pPr>
      <w:rPr>
        <w:rFonts w:hint="default"/>
        <w:b/>
        <w:bCs/>
        <w:spacing w:val="-2"/>
        <w:w w:val="99"/>
        <w:lang w:val="fr-FR" w:eastAsia="fr-FR" w:bidi="fr-FR"/>
      </w:rPr>
    </w:lvl>
    <w:lvl w:ilvl="2">
      <w:start w:val="0"/>
      <w:numFmt w:val="bullet"/>
      <w:lvlText w:val=""/>
      <w:lvlJc w:val="left"/>
      <w:pPr>
        <w:ind w:left="1319" w:hanging="360"/>
      </w:pPr>
      <w:rPr>
        <w:rFonts w:hint="default" w:ascii="Wingdings" w:hAnsi="Wingdings" w:eastAsia="Wingdings" w:cs="Wingdings"/>
        <w:w w:val="100"/>
        <w:sz w:val="24"/>
        <w:szCs w:val="24"/>
        <w:lang w:val="fr-FR" w:eastAsia="fr-FR" w:bidi="fr-FR"/>
      </w:rPr>
    </w:lvl>
    <w:lvl w:ilvl="3">
      <w:start w:val="0"/>
      <w:numFmt w:val="bullet"/>
      <w:lvlText w:val="-"/>
      <w:lvlJc w:val="left"/>
      <w:pPr>
        <w:ind w:left="1382" w:hanging="200"/>
      </w:pPr>
      <w:rPr>
        <w:rFonts w:hint="default" w:ascii="Times New Roman" w:hAnsi="Times New Roman" w:eastAsia="Times New Roman" w:cs="Times New Roman"/>
        <w:spacing w:val="-11"/>
        <w:w w:val="99"/>
        <w:sz w:val="24"/>
        <w:szCs w:val="24"/>
        <w:lang w:val="fr-FR" w:eastAsia="fr-FR" w:bidi="fr-FR"/>
      </w:rPr>
    </w:lvl>
    <w:lvl w:ilvl="4">
      <w:start w:val="0"/>
      <w:numFmt w:val="bullet"/>
      <w:lvlText w:val="•"/>
      <w:lvlJc w:val="left"/>
      <w:pPr>
        <w:ind w:left="3825" w:hanging="200"/>
      </w:pPr>
      <w:rPr>
        <w:rFonts w:hint="default"/>
        <w:lang w:val="fr-FR" w:eastAsia="fr-FR" w:bidi="fr-FR"/>
      </w:rPr>
    </w:lvl>
    <w:lvl w:ilvl="5">
      <w:start w:val="0"/>
      <w:numFmt w:val="bullet"/>
      <w:lvlText w:val="•"/>
      <w:lvlJc w:val="left"/>
      <w:pPr>
        <w:ind w:left="5047" w:hanging="200"/>
      </w:pPr>
      <w:rPr>
        <w:rFonts w:hint="default"/>
        <w:lang w:val="fr-FR" w:eastAsia="fr-FR" w:bidi="fr-FR"/>
      </w:rPr>
    </w:lvl>
    <w:lvl w:ilvl="6">
      <w:start w:val="0"/>
      <w:numFmt w:val="bullet"/>
      <w:lvlText w:val="•"/>
      <w:lvlJc w:val="left"/>
      <w:pPr>
        <w:ind w:left="6270" w:hanging="200"/>
      </w:pPr>
      <w:rPr>
        <w:rFonts w:hint="default"/>
        <w:lang w:val="fr-FR" w:eastAsia="fr-FR" w:bidi="fr-FR"/>
      </w:rPr>
    </w:lvl>
    <w:lvl w:ilvl="7">
      <w:start w:val="0"/>
      <w:numFmt w:val="bullet"/>
      <w:lvlText w:val="•"/>
      <w:lvlJc w:val="left"/>
      <w:pPr>
        <w:ind w:left="7492" w:hanging="200"/>
      </w:pPr>
      <w:rPr>
        <w:rFonts w:hint="default"/>
        <w:lang w:val="fr-FR" w:eastAsia="fr-FR" w:bidi="fr-FR"/>
      </w:rPr>
    </w:lvl>
    <w:lvl w:ilvl="8">
      <w:start w:val="0"/>
      <w:numFmt w:val="bullet"/>
      <w:lvlText w:val="•"/>
      <w:lvlJc w:val="left"/>
      <w:pPr>
        <w:ind w:left="8715" w:hanging="200"/>
      </w:pPr>
      <w:rPr>
        <w:rFonts w:hint="default"/>
        <w:lang w:val="fr-FR" w:eastAsia="fr-FR" w:bidi="fr-FR"/>
      </w:rPr>
    </w:lvl>
  </w:abstractNum>
  <w:abstractNum w:abstractNumId="14">
    <w:multiLevelType w:val="hybridMultilevel"/>
    <w:lvl w:ilvl="0">
      <w:start w:val="1"/>
      <w:numFmt w:val="upperRoman"/>
      <w:lvlText w:val="%1"/>
      <w:lvlJc w:val="left"/>
      <w:pPr>
        <w:ind w:left="1067" w:hanging="392"/>
        <w:jc w:val="left"/>
      </w:pPr>
      <w:rPr>
        <w:rFonts w:hint="default"/>
        <w:lang w:val="fr-FR" w:eastAsia="fr-FR" w:bidi="fr-FR"/>
      </w:rPr>
    </w:lvl>
    <w:lvl w:ilvl="1">
      <w:start w:val="4"/>
      <w:numFmt w:val="decimal"/>
      <w:lvlText w:val="%1.%2."/>
      <w:lvlJc w:val="left"/>
      <w:pPr>
        <w:ind w:left="1067" w:hanging="392"/>
        <w:jc w:val="left"/>
      </w:pPr>
      <w:rPr>
        <w:rFonts w:hint="default" w:ascii="Times New Roman" w:hAnsi="Times New Roman" w:eastAsia="Times New Roman" w:cs="Times New Roman"/>
        <w:b/>
        <w:bCs/>
        <w:spacing w:val="-2"/>
        <w:w w:val="99"/>
        <w:sz w:val="24"/>
        <w:szCs w:val="24"/>
        <w:lang w:val="fr-FR" w:eastAsia="fr-FR" w:bidi="fr-FR"/>
      </w:rPr>
    </w:lvl>
    <w:lvl w:ilvl="2">
      <w:start w:val="3"/>
      <w:numFmt w:val="decimal"/>
      <w:lvlText w:val="%1.%2.%3."/>
      <w:lvlJc w:val="left"/>
      <w:pPr>
        <w:ind w:left="1247" w:hanging="572"/>
        <w:jc w:val="left"/>
      </w:pPr>
      <w:rPr>
        <w:rFonts w:hint="default" w:ascii="Times New Roman" w:hAnsi="Times New Roman" w:eastAsia="Times New Roman" w:cs="Times New Roman"/>
        <w:b/>
        <w:bCs/>
        <w:spacing w:val="-2"/>
        <w:w w:val="99"/>
        <w:sz w:val="24"/>
        <w:szCs w:val="24"/>
        <w:lang w:val="fr-FR" w:eastAsia="fr-FR" w:bidi="fr-FR"/>
      </w:rPr>
    </w:lvl>
    <w:lvl w:ilvl="3">
      <w:start w:val="0"/>
      <w:numFmt w:val="bullet"/>
      <w:lvlText w:val="•"/>
      <w:lvlJc w:val="left"/>
      <w:pPr>
        <w:ind w:left="3444" w:hanging="572"/>
      </w:pPr>
      <w:rPr>
        <w:rFonts w:hint="default"/>
        <w:lang w:val="fr-FR" w:eastAsia="fr-FR" w:bidi="fr-FR"/>
      </w:rPr>
    </w:lvl>
    <w:lvl w:ilvl="4">
      <w:start w:val="0"/>
      <w:numFmt w:val="bullet"/>
      <w:lvlText w:val="•"/>
      <w:lvlJc w:val="left"/>
      <w:pPr>
        <w:ind w:left="4546" w:hanging="572"/>
      </w:pPr>
      <w:rPr>
        <w:rFonts w:hint="default"/>
        <w:lang w:val="fr-FR" w:eastAsia="fr-FR" w:bidi="fr-FR"/>
      </w:rPr>
    </w:lvl>
    <w:lvl w:ilvl="5">
      <w:start w:val="0"/>
      <w:numFmt w:val="bullet"/>
      <w:lvlText w:val="•"/>
      <w:lvlJc w:val="left"/>
      <w:pPr>
        <w:ind w:left="5648" w:hanging="572"/>
      </w:pPr>
      <w:rPr>
        <w:rFonts w:hint="default"/>
        <w:lang w:val="fr-FR" w:eastAsia="fr-FR" w:bidi="fr-FR"/>
      </w:rPr>
    </w:lvl>
    <w:lvl w:ilvl="6">
      <w:start w:val="0"/>
      <w:numFmt w:val="bullet"/>
      <w:lvlText w:val="•"/>
      <w:lvlJc w:val="left"/>
      <w:pPr>
        <w:ind w:left="6751" w:hanging="572"/>
      </w:pPr>
      <w:rPr>
        <w:rFonts w:hint="default"/>
        <w:lang w:val="fr-FR" w:eastAsia="fr-FR" w:bidi="fr-FR"/>
      </w:rPr>
    </w:lvl>
    <w:lvl w:ilvl="7">
      <w:start w:val="0"/>
      <w:numFmt w:val="bullet"/>
      <w:lvlText w:val="•"/>
      <w:lvlJc w:val="left"/>
      <w:pPr>
        <w:ind w:left="7853" w:hanging="572"/>
      </w:pPr>
      <w:rPr>
        <w:rFonts w:hint="default"/>
        <w:lang w:val="fr-FR" w:eastAsia="fr-FR" w:bidi="fr-FR"/>
      </w:rPr>
    </w:lvl>
    <w:lvl w:ilvl="8">
      <w:start w:val="0"/>
      <w:numFmt w:val="bullet"/>
      <w:lvlText w:val="•"/>
      <w:lvlJc w:val="left"/>
      <w:pPr>
        <w:ind w:left="8955" w:hanging="572"/>
      </w:pPr>
      <w:rPr>
        <w:rFonts w:hint="default"/>
        <w:lang w:val="fr-FR" w:eastAsia="fr-FR" w:bidi="fr-FR"/>
      </w:rPr>
    </w:lvl>
  </w:abstractNum>
  <w:abstractNum w:abstractNumId="13">
    <w:multiLevelType w:val="hybridMultilevel"/>
    <w:lvl w:ilvl="0">
      <w:start w:val="1"/>
      <w:numFmt w:val="upperRoman"/>
      <w:lvlText w:val="%1"/>
      <w:lvlJc w:val="left"/>
      <w:pPr>
        <w:ind w:left="1426" w:hanging="752"/>
        <w:jc w:val="left"/>
      </w:pPr>
      <w:rPr>
        <w:rFonts w:hint="default"/>
        <w:lang w:val="fr-FR" w:eastAsia="fr-FR" w:bidi="fr-FR"/>
      </w:rPr>
    </w:lvl>
    <w:lvl w:ilvl="1">
      <w:start w:val="4"/>
      <w:numFmt w:val="decimal"/>
      <w:lvlText w:val="%1.%2"/>
      <w:lvlJc w:val="left"/>
      <w:pPr>
        <w:ind w:left="1426" w:hanging="752"/>
        <w:jc w:val="left"/>
      </w:pPr>
      <w:rPr>
        <w:rFonts w:hint="default"/>
        <w:lang w:val="fr-FR" w:eastAsia="fr-FR" w:bidi="fr-FR"/>
      </w:rPr>
    </w:lvl>
    <w:lvl w:ilvl="2">
      <w:start w:val="1"/>
      <w:numFmt w:val="decimal"/>
      <w:lvlText w:val="%1.%2.%3"/>
      <w:lvlJc w:val="left"/>
      <w:pPr>
        <w:ind w:left="1426" w:hanging="752"/>
        <w:jc w:val="left"/>
      </w:pPr>
      <w:rPr>
        <w:rFonts w:hint="default"/>
        <w:lang w:val="fr-FR" w:eastAsia="fr-FR" w:bidi="fr-FR"/>
      </w:rPr>
    </w:lvl>
    <w:lvl w:ilvl="3">
      <w:start w:val="1"/>
      <w:numFmt w:val="decimal"/>
      <w:lvlText w:val="%1.%2.%3.%4."/>
      <w:lvlJc w:val="left"/>
      <w:pPr>
        <w:ind w:left="1426" w:hanging="752"/>
        <w:jc w:val="left"/>
      </w:pPr>
      <w:rPr>
        <w:rFonts w:hint="default" w:ascii="Times New Roman" w:hAnsi="Times New Roman" w:eastAsia="Times New Roman" w:cs="Times New Roman"/>
        <w:b/>
        <w:bCs/>
        <w:spacing w:val="-2"/>
        <w:w w:val="99"/>
        <w:sz w:val="24"/>
        <w:szCs w:val="24"/>
        <w:lang w:val="fr-FR" w:eastAsia="fr-FR" w:bidi="fr-FR"/>
      </w:rPr>
    </w:lvl>
    <w:lvl w:ilvl="4">
      <w:start w:val="1"/>
      <w:numFmt w:val="decimal"/>
      <w:lvlText w:val="%1.%2.%3.%4.%5."/>
      <w:lvlJc w:val="left"/>
      <w:pPr>
        <w:ind w:left="2314" w:hanging="932"/>
        <w:jc w:val="left"/>
      </w:pPr>
      <w:rPr>
        <w:rFonts w:hint="default" w:ascii="Times New Roman" w:hAnsi="Times New Roman" w:eastAsia="Times New Roman" w:cs="Times New Roman"/>
        <w:b/>
        <w:bCs/>
        <w:spacing w:val="-5"/>
        <w:w w:val="99"/>
        <w:sz w:val="24"/>
        <w:szCs w:val="24"/>
        <w:lang w:val="fr-FR" w:eastAsia="fr-FR" w:bidi="fr-FR"/>
      </w:rPr>
    </w:lvl>
    <w:lvl w:ilvl="5">
      <w:start w:val="0"/>
      <w:numFmt w:val="bullet"/>
      <w:lvlText w:val="•"/>
      <w:lvlJc w:val="left"/>
      <w:pPr>
        <w:ind w:left="6248" w:hanging="932"/>
      </w:pPr>
      <w:rPr>
        <w:rFonts w:hint="default"/>
        <w:lang w:val="fr-FR" w:eastAsia="fr-FR" w:bidi="fr-FR"/>
      </w:rPr>
    </w:lvl>
    <w:lvl w:ilvl="6">
      <w:start w:val="0"/>
      <w:numFmt w:val="bullet"/>
      <w:lvlText w:val="•"/>
      <w:lvlJc w:val="left"/>
      <w:pPr>
        <w:ind w:left="7231" w:hanging="932"/>
      </w:pPr>
      <w:rPr>
        <w:rFonts w:hint="default"/>
        <w:lang w:val="fr-FR" w:eastAsia="fr-FR" w:bidi="fr-FR"/>
      </w:rPr>
    </w:lvl>
    <w:lvl w:ilvl="7">
      <w:start w:val="0"/>
      <w:numFmt w:val="bullet"/>
      <w:lvlText w:val="•"/>
      <w:lvlJc w:val="left"/>
      <w:pPr>
        <w:ind w:left="8213" w:hanging="932"/>
      </w:pPr>
      <w:rPr>
        <w:rFonts w:hint="default"/>
        <w:lang w:val="fr-FR" w:eastAsia="fr-FR" w:bidi="fr-FR"/>
      </w:rPr>
    </w:lvl>
    <w:lvl w:ilvl="8">
      <w:start w:val="0"/>
      <w:numFmt w:val="bullet"/>
      <w:lvlText w:val="•"/>
      <w:lvlJc w:val="left"/>
      <w:pPr>
        <w:ind w:left="9195" w:hanging="932"/>
      </w:pPr>
      <w:rPr>
        <w:rFonts w:hint="default"/>
        <w:lang w:val="fr-FR" w:eastAsia="fr-FR" w:bidi="fr-FR"/>
      </w:rPr>
    </w:lvl>
  </w:abstractNum>
  <w:abstractNum w:abstractNumId="12">
    <w:multiLevelType w:val="hybridMultilevel"/>
    <w:lvl w:ilvl="0">
      <w:start w:val="0"/>
      <w:numFmt w:val="bullet"/>
      <w:lvlText w:val="*"/>
      <w:lvlJc w:val="left"/>
      <w:pPr>
        <w:ind w:left="675" w:hanging="188"/>
      </w:pPr>
      <w:rPr>
        <w:rFonts w:hint="default" w:ascii="Times New Roman" w:hAnsi="Times New Roman" w:eastAsia="Times New Roman" w:cs="Times New Roman"/>
        <w:w w:val="100"/>
        <w:sz w:val="24"/>
        <w:szCs w:val="24"/>
        <w:lang w:val="fr-FR" w:eastAsia="fr-FR" w:bidi="fr-FR"/>
      </w:rPr>
    </w:lvl>
    <w:lvl w:ilvl="1">
      <w:start w:val="0"/>
      <w:numFmt w:val="bullet"/>
      <w:lvlText w:val="•"/>
      <w:lvlJc w:val="left"/>
      <w:pPr>
        <w:ind w:left="1728" w:hanging="188"/>
      </w:pPr>
      <w:rPr>
        <w:rFonts w:hint="default"/>
        <w:lang w:val="fr-FR" w:eastAsia="fr-FR" w:bidi="fr-FR"/>
      </w:rPr>
    </w:lvl>
    <w:lvl w:ilvl="2">
      <w:start w:val="0"/>
      <w:numFmt w:val="bullet"/>
      <w:lvlText w:val="•"/>
      <w:lvlJc w:val="left"/>
      <w:pPr>
        <w:ind w:left="2776" w:hanging="188"/>
      </w:pPr>
      <w:rPr>
        <w:rFonts w:hint="default"/>
        <w:lang w:val="fr-FR" w:eastAsia="fr-FR" w:bidi="fr-FR"/>
      </w:rPr>
    </w:lvl>
    <w:lvl w:ilvl="3">
      <w:start w:val="0"/>
      <w:numFmt w:val="bullet"/>
      <w:lvlText w:val="•"/>
      <w:lvlJc w:val="left"/>
      <w:pPr>
        <w:ind w:left="3824" w:hanging="188"/>
      </w:pPr>
      <w:rPr>
        <w:rFonts w:hint="default"/>
        <w:lang w:val="fr-FR" w:eastAsia="fr-FR" w:bidi="fr-FR"/>
      </w:rPr>
    </w:lvl>
    <w:lvl w:ilvl="4">
      <w:start w:val="0"/>
      <w:numFmt w:val="bullet"/>
      <w:lvlText w:val="•"/>
      <w:lvlJc w:val="left"/>
      <w:pPr>
        <w:ind w:left="4872" w:hanging="188"/>
      </w:pPr>
      <w:rPr>
        <w:rFonts w:hint="default"/>
        <w:lang w:val="fr-FR" w:eastAsia="fr-FR" w:bidi="fr-FR"/>
      </w:rPr>
    </w:lvl>
    <w:lvl w:ilvl="5">
      <w:start w:val="0"/>
      <w:numFmt w:val="bullet"/>
      <w:lvlText w:val="•"/>
      <w:lvlJc w:val="left"/>
      <w:pPr>
        <w:ind w:left="5920" w:hanging="188"/>
      </w:pPr>
      <w:rPr>
        <w:rFonts w:hint="default"/>
        <w:lang w:val="fr-FR" w:eastAsia="fr-FR" w:bidi="fr-FR"/>
      </w:rPr>
    </w:lvl>
    <w:lvl w:ilvl="6">
      <w:start w:val="0"/>
      <w:numFmt w:val="bullet"/>
      <w:lvlText w:val="•"/>
      <w:lvlJc w:val="left"/>
      <w:pPr>
        <w:ind w:left="6968" w:hanging="188"/>
      </w:pPr>
      <w:rPr>
        <w:rFonts w:hint="default"/>
        <w:lang w:val="fr-FR" w:eastAsia="fr-FR" w:bidi="fr-FR"/>
      </w:rPr>
    </w:lvl>
    <w:lvl w:ilvl="7">
      <w:start w:val="0"/>
      <w:numFmt w:val="bullet"/>
      <w:lvlText w:val="•"/>
      <w:lvlJc w:val="left"/>
      <w:pPr>
        <w:ind w:left="8016" w:hanging="188"/>
      </w:pPr>
      <w:rPr>
        <w:rFonts w:hint="default"/>
        <w:lang w:val="fr-FR" w:eastAsia="fr-FR" w:bidi="fr-FR"/>
      </w:rPr>
    </w:lvl>
    <w:lvl w:ilvl="8">
      <w:start w:val="0"/>
      <w:numFmt w:val="bullet"/>
      <w:lvlText w:val="•"/>
      <w:lvlJc w:val="left"/>
      <w:pPr>
        <w:ind w:left="9064" w:hanging="188"/>
      </w:pPr>
      <w:rPr>
        <w:rFonts w:hint="default"/>
        <w:lang w:val="fr-FR" w:eastAsia="fr-FR" w:bidi="fr-FR"/>
      </w:rPr>
    </w:lvl>
  </w:abstractNum>
  <w:abstractNum w:abstractNumId="11">
    <w:multiLevelType w:val="hybridMultilevel"/>
    <w:lvl w:ilvl="0">
      <w:start w:val="1"/>
      <w:numFmt w:val="upperRoman"/>
      <w:lvlText w:val="%1"/>
      <w:lvlJc w:val="left"/>
      <w:pPr>
        <w:ind w:left="1134" w:hanging="460"/>
        <w:jc w:val="left"/>
      </w:pPr>
      <w:rPr>
        <w:rFonts w:hint="default"/>
        <w:lang w:val="fr-FR" w:eastAsia="fr-FR" w:bidi="fr-FR"/>
      </w:rPr>
    </w:lvl>
    <w:lvl w:ilvl="1">
      <w:start w:val="3"/>
      <w:numFmt w:val="decimal"/>
      <w:lvlText w:val="%1.%2."/>
      <w:lvlJc w:val="left"/>
      <w:pPr>
        <w:ind w:left="1134" w:hanging="460"/>
        <w:jc w:val="left"/>
      </w:pPr>
      <w:rPr>
        <w:rFonts w:hint="default" w:ascii="Times New Roman" w:hAnsi="Times New Roman" w:eastAsia="Times New Roman" w:cs="Times New Roman"/>
        <w:b/>
        <w:bCs/>
        <w:spacing w:val="-1"/>
        <w:w w:val="99"/>
        <w:sz w:val="28"/>
        <w:szCs w:val="28"/>
        <w:lang w:val="fr-FR" w:eastAsia="fr-FR" w:bidi="fr-FR"/>
      </w:rPr>
    </w:lvl>
    <w:lvl w:ilvl="2">
      <w:start w:val="1"/>
      <w:numFmt w:val="decimal"/>
      <w:lvlText w:val="%1.%2.%3."/>
      <w:lvlJc w:val="left"/>
      <w:pPr>
        <w:ind w:left="1247" w:hanging="572"/>
        <w:jc w:val="left"/>
      </w:pPr>
      <w:rPr>
        <w:rFonts w:hint="default" w:ascii="Times New Roman" w:hAnsi="Times New Roman" w:eastAsia="Times New Roman" w:cs="Times New Roman"/>
        <w:b/>
        <w:bCs/>
        <w:spacing w:val="-2"/>
        <w:w w:val="100"/>
        <w:sz w:val="24"/>
        <w:szCs w:val="24"/>
        <w:lang w:val="fr-FR" w:eastAsia="fr-FR" w:bidi="fr-FR"/>
      </w:rPr>
    </w:lvl>
    <w:lvl w:ilvl="3">
      <w:start w:val="0"/>
      <w:numFmt w:val="bullet"/>
      <w:lvlText w:val=""/>
      <w:lvlJc w:val="left"/>
      <w:pPr>
        <w:ind w:left="1394" w:hanging="360"/>
      </w:pPr>
      <w:rPr>
        <w:rFonts w:hint="default" w:ascii="Symbol" w:hAnsi="Symbol" w:eastAsia="Symbol" w:cs="Symbol"/>
        <w:w w:val="100"/>
        <w:sz w:val="24"/>
        <w:szCs w:val="24"/>
        <w:lang w:val="fr-FR" w:eastAsia="fr-FR" w:bidi="fr-FR"/>
      </w:rPr>
    </w:lvl>
    <w:lvl w:ilvl="4">
      <w:start w:val="0"/>
      <w:numFmt w:val="bullet"/>
      <w:lvlText w:val="•"/>
      <w:lvlJc w:val="left"/>
      <w:pPr>
        <w:ind w:left="3840" w:hanging="360"/>
      </w:pPr>
      <w:rPr>
        <w:rFonts w:hint="default"/>
        <w:lang w:val="fr-FR" w:eastAsia="fr-FR" w:bidi="fr-FR"/>
      </w:rPr>
    </w:lvl>
    <w:lvl w:ilvl="5">
      <w:start w:val="0"/>
      <w:numFmt w:val="bullet"/>
      <w:lvlText w:val="•"/>
      <w:lvlJc w:val="left"/>
      <w:pPr>
        <w:ind w:left="5060" w:hanging="360"/>
      </w:pPr>
      <w:rPr>
        <w:rFonts w:hint="default"/>
        <w:lang w:val="fr-FR" w:eastAsia="fr-FR" w:bidi="fr-FR"/>
      </w:rPr>
    </w:lvl>
    <w:lvl w:ilvl="6">
      <w:start w:val="0"/>
      <w:numFmt w:val="bullet"/>
      <w:lvlText w:val="•"/>
      <w:lvlJc w:val="left"/>
      <w:pPr>
        <w:ind w:left="6280" w:hanging="360"/>
      </w:pPr>
      <w:rPr>
        <w:rFonts w:hint="default"/>
        <w:lang w:val="fr-FR" w:eastAsia="fr-FR" w:bidi="fr-FR"/>
      </w:rPr>
    </w:lvl>
    <w:lvl w:ilvl="7">
      <w:start w:val="0"/>
      <w:numFmt w:val="bullet"/>
      <w:lvlText w:val="•"/>
      <w:lvlJc w:val="left"/>
      <w:pPr>
        <w:ind w:left="7500" w:hanging="360"/>
      </w:pPr>
      <w:rPr>
        <w:rFonts w:hint="default"/>
        <w:lang w:val="fr-FR" w:eastAsia="fr-FR" w:bidi="fr-FR"/>
      </w:rPr>
    </w:lvl>
    <w:lvl w:ilvl="8">
      <w:start w:val="0"/>
      <w:numFmt w:val="bullet"/>
      <w:lvlText w:val="•"/>
      <w:lvlJc w:val="left"/>
      <w:pPr>
        <w:ind w:left="8720" w:hanging="360"/>
      </w:pPr>
      <w:rPr>
        <w:rFonts w:hint="default"/>
        <w:lang w:val="fr-FR" w:eastAsia="fr-FR" w:bidi="fr-FR"/>
      </w:rPr>
    </w:lvl>
  </w:abstractNum>
  <w:abstractNum w:abstractNumId="10">
    <w:multiLevelType w:val="hybridMultilevel"/>
    <w:lvl w:ilvl="0">
      <w:start w:val="1"/>
      <w:numFmt w:val="upperRoman"/>
      <w:lvlText w:val="%1"/>
      <w:lvlJc w:val="left"/>
      <w:pPr>
        <w:ind w:left="1346" w:hanging="671"/>
        <w:jc w:val="left"/>
      </w:pPr>
      <w:rPr>
        <w:rFonts w:hint="default"/>
        <w:lang w:val="fr-FR" w:eastAsia="fr-FR" w:bidi="fr-FR"/>
      </w:rPr>
    </w:lvl>
    <w:lvl w:ilvl="1">
      <w:start w:val="2"/>
      <w:numFmt w:val="decimal"/>
      <w:lvlText w:val="%1.%2"/>
      <w:lvlJc w:val="left"/>
      <w:pPr>
        <w:ind w:left="1346" w:hanging="671"/>
        <w:jc w:val="left"/>
      </w:pPr>
      <w:rPr>
        <w:rFonts w:hint="default"/>
        <w:lang w:val="fr-FR" w:eastAsia="fr-FR" w:bidi="fr-FR"/>
      </w:rPr>
    </w:lvl>
    <w:lvl w:ilvl="2">
      <w:start w:val="1"/>
      <w:numFmt w:val="decimal"/>
      <w:lvlText w:val="%1.%2.%3."/>
      <w:lvlJc w:val="left"/>
      <w:pPr>
        <w:ind w:left="1346" w:hanging="671"/>
        <w:jc w:val="left"/>
      </w:pPr>
      <w:rPr>
        <w:rFonts w:hint="default" w:ascii="Times New Roman" w:hAnsi="Times New Roman" w:eastAsia="Times New Roman" w:cs="Times New Roman"/>
        <w:b/>
        <w:bCs/>
        <w:spacing w:val="-1"/>
        <w:w w:val="100"/>
        <w:sz w:val="28"/>
        <w:szCs w:val="28"/>
        <w:lang w:val="fr-FR" w:eastAsia="fr-FR" w:bidi="fr-FR"/>
      </w:rPr>
    </w:lvl>
    <w:lvl w:ilvl="3">
      <w:start w:val="1"/>
      <w:numFmt w:val="decimal"/>
      <w:lvlText w:val="%1.%2.%3.%4."/>
      <w:lvlJc w:val="left"/>
      <w:pPr>
        <w:ind w:left="1426" w:hanging="752"/>
        <w:jc w:val="left"/>
      </w:pPr>
      <w:rPr>
        <w:rFonts w:hint="default" w:ascii="Times New Roman" w:hAnsi="Times New Roman" w:eastAsia="Times New Roman" w:cs="Times New Roman"/>
        <w:b/>
        <w:bCs/>
        <w:spacing w:val="-2"/>
        <w:w w:val="99"/>
        <w:sz w:val="24"/>
        <w:szCs w:val="24"/>
        <w:lang w:val="fr-FR" w:eastAsia="fr-FR" w:bidi="fr-FR"/>
      </w:rPr>
    </w:lvl>
    <w:lvl w:ilvl="4">
      <w:start w:val="0"/>
      <w:numFmt w:val="bullet"/>
      <w:lvlText w:val="•"/>
      <w:lvlJc w:val="left"/>
      <w:pPr>
        <w:ind w:left="4666" w:hanging="752"/>
      </w:pPr>
      <w:rPr>
        <w:rFonts w:hint="default"/>
        <w:lang w:val="fr-FR" w:eastAsia="fr-FR" w:bidi="fr-FR"/>
      </w:rPr>
    </w:lvl>
    <w:lvl w:ilvl="5">
      <w:start w:val="0"/>
      <w:numFmt w:val="bullet"/>
      <w:lvlText w:val="•"/>
      <w:lvlJc w:val="left"/>
      <w:pPr>
        <w:ind w:left="5748" w:hanging="752"/>
      </w:pPr>
      <w:rPr>
        <w:rFonts w:hint="default"/>
        <w:lang w:val="fr-FR" w:eastAsia="fr-FR" w:bidi="fr-FR"/>
      </w:rPr>
    </w:lvl>
    <w:lvl w:ilvl="6">
      <w:start w:val="0"/>
      <w:numFmt w:val="bullet"/>
      <w:lvlText w:val="•"/>
      <w:lvlJc w:val="left"/>
      <w:pPr>
        <w:ind w:left="6831" w:hanging="752"/>
      </w:pPr>
      <w:rPr>
        <w:rFonts w:hint="default"/>
        <w:lang w:val="fr-FR" w:eastAsia="fr-FR" w:bidi="fr-FR"/>
      </w:rPr>
    </w:lvl>
    <w:lvl w:ilvl="7">
      <w:start w:val="0"/>
      <w:numFmt w:val="bullet"/>
      <w:lvlText w:val="•"/>
      <w:lvlJc w:val="left"/>
      <w:pPr>
        <w:ind w:left="7913" w:hanging="752"/>
      </w:pPr>
      <w:rPr>
        <w:rFonts w:hint="default"/>
        <w:lang w:val="fr-FR" w:eastAsia="fr-FR" w:bidi="fr-FR"/>
      </w:rPr>
    </w:lvl>
    <w:lvl w:ilvl="8">
      <w:start w:val="0"/>
      <w:numFmt w:val="bullet"/>
      <w:lvlText w:val="•"/>
      <w:lvlJc w:val="left"/>
      <w:pPr>
        <w:ind w:left="8995" w:hanging="752"/>
      </w:pPr>
      <w:rPr>
        <w:rFonts w:hint="default"/>
        <w:lang w:val="fr-FR" w:eastAsia="fr-FR" w:bidi="fr-FR"/>
      </w:rPr>
    </w:lvl>
  </w:abstractNum>
  <w:abstractNum w:abstractNumId="9">
    <w:multiLevelType w:val="hybridMultilevel"/>
    <w:lvl w:ilvl="0">
      <w:start w:val="1"/>
      <w:numFmt w:val="upperRoman"/>
      <w:lvlText w:val="%1"/>
      <w:lvlJc w:val="left"/>
      <w:pPr>
        <w:ind w:left="1066" w:hanging="392"/>
        <w:jc w:val="left"/>
      </w:pPr>
      <w:rPr>
        <w:rFonts w:hint="default"/>
        <w:lang w:val="fr-FR" w:eastAsia="fr-FR" w:bidi="fr-FR"/>
      </w:rPr>
    </w:lvl>
    <w:lvl w:ilvl="1">
      <w:start w:val="1"/>
      <w:numFmt w:val="decimal"/>
      <w:lvlText w:val="%1.%2."/>
      <w:lvlJc w:val="left"/>
      <w:pPr>
        <w:ind w:left="1066" w:hanging="392"/>
        <w:jc w:val="left"/>
      </w:pPr>
      <w:rPr>
        <w:rFonts w:hint="default" w:ascii="Times New Roman" w:hAnsi="Times New Roman" w:eastAsia="Times New Roman" w:cs="Times New Roman"/>
        <w:b/>
        <w:bCs/>
        <w:spacing w:val="-1"/>
        <w:w w:val="100"/>
        <w:sz w:val="26"/>
        <w:szCs w:val="26"/>
        <w:lang w:val="fr-FR" w:eastAsia="fr-FR" w:bidi="fr-FR"/>
      </w:rPr>
    </w:lvl>
    <w:lvl w:ilvl="2">
      <w:start w:val="0"/>
      <w:numFmt w:val="bullet"/>
      <w:lvlText w:val=""/>
      <w:lvlJc w:val="left"/>
      <w:pPr>
        <w:ind w:left="1394" w:hanging="360"/>
      </w:pPr>
      <w:rPr>
        <w:rFonts w:hint="default" w:ascii="Symbol" w:hAnsi="Symbol" w:eastAsia="Symbol" w:cs="Symbol"/>
        <w:w w:val="100"/>
        <w:sz w:val="24"/>
        <w:szCs w:val="24"/>
        <w:lang w:val="fr-FR" w:eastAsia="fr-FR" w:bidi="fr-FR"/>
      </w:rPr>
    </w:lvl>
    <w:lvl w:ilvl="3">
      <w:start w:val="0"/>
      <w:numFmt w:val="bullet"/>
      <w:lvlText w:val="•"/>
      <w:lvlJc w:val="left"/>
      <w:pPr>
        <w:ind w:left="3568" w:hanging="360"/>
      </w:pPr>
      <w:rPr>
        <w:rFonts w:hint="default"/>
        <w:lang w:val="fr-FR" w:eastAsia="fr-FR" w:bidi="fr-FR"/>
      </w:rPr>
    </w:lvl>
    <w:lvl w:ilvl="4">
      <w:start w:val="0"/>
      <w:numFmt w:val="bullet"/>
      <w:lvlText w:val="•"/>
      <w:lvlJc w:val="left"/>
      <w:pPr>
        <w:ind w:left="4653" w:hanging="360"/>
      </w:pPr>
      <w:rPr>
        <w:rFonts w:hint="default"/>
        <w:lang w:val="fr-FR" w:eastAsia="fr-FR" w:bidi="fr-FR"/>
      </w:rPr>
    </w:lvl>
    <w:lvl w:ilvl="5">
      <w:start w:val="0"/>
      <w:numFmt w:val="bullet"/>
      <w:lvlText w:val="•"/>
      <w:lvlJc w:val="left"/>
      <w:pPr>
        <w:ind w:left="5737" w:hanging="360"/>
      </w:pPr>
      <w:rPr>
        <w:rFonts w:hint="default"/>
        <w:lang w:val="fr-FR" w:eastAsia="fr-FR" w:bidi="fr-FR"/>
      </w:rPr>
    </w:lvl>
    <w:lvl w:ilvl="6">
      <w:start w:val="0"/>
      <w:numFmt w:val="bullet"/>
      <w:lvlText w:val="•"/>
      <w:lvlJc w:val="left"/>
      <w:pPr>
        <w:ind w:left="6822" w:hanging="360"/>
      </w:pPr>
      <w:rPr>
        <w:rFonts w:hint="default"/>
        <w:lang w:val="fr-FR" w:eastAsia="fr-FR" w:bidi="fr-FR"/>
      </w:rPr>
    </w:lvl>
    <w:lvl w:ilvl="7">
      <w:start w:val="0"/>
      <w:numFmt w:val="bullet"/>
      <w:lvlText w:val="•"/>
      <w:lvlJc w:val="left"/>
      <w:pPr>
        <w:ind w:left="7906" w:hanging="360"/>
      </w:pPr>
      <w:rPr>
        <w:rFonts w:hint="default"/>
        <w:lang w:val="fr-FR" w:eastAsia="fr-FR" w:bidi="fr-FR"/>
      </w:rPr>
    </w:lvl>
    <w:lvl w:ilvl="8">
      <w:start w:val="0"/>
      <w:numFmt w:val="bullet"/>
      <w:lvlText w:val="•"/>
      <w:lvlJc w:val="left"/>
      <w:pPr>
        <w:ind w:left="8991" w:hanging="360"/>
      </w:pPr>
      <w:rPr>
        <w:rFonts w:hint="default"/>
        <w:lang w:val="fr-FR" w:eastAsia="fr-FR" w:bidi="fr-FR"/>
      </w:rPr>
    </w:lvl>
  </w:abstractNum>
  <w:abstractNum w:abstractNumId="8">
    <w:multiLevelType w:val="hybridMultilevel"/>
    <w:lvl w:ilvl="0">
      <w:start w:val="4"/>
      <w:numFmt w:val="upperRoman"/>
      <w:lvlText w:val="%1"/>
      <w:lvlJc w:val="left"/>
      <w:pPr>
        <w:ind w:left="1750" w:hanging="856"/>
        <w:jc w:val="left"/>
      </w:pPr>
      <w:rPr>
        <w:rFonts w:hint="default"/>
        <w:lang w:val="fr-FR" w:eastAsia="fr-FR" w:bidi="fr-FR"/>
      </w:rPr>
    </w:lvl>
    <w:lvl w:ilvl="1">
      <w:start w:val="1"/>
      <w:numFmt w:val="decimal"/>
      <w:lvlText w:val="%1.%2"/>
      <w:lvlJc w:val="left"/>
      <w:pPr>
        <w:ind w:left="1750" w:hanging="856"/>
        <w:jc w:val="left"/>
      </w:pPr>
      <w:rPr>
        <w:rFonts w:hint="default"/>
        <w:lang w:val="fr-FR" w:eastAsia="fr-FR" w:bidi="fr-FR"/>
      </w:rPr>
    </w:lvl>
    <w:lvl w:ilvl="2">
      <w:start w:val="17"/>
      <w:numFmt w:val="decimal"/>
      <w:lvlText w:val="%1.%2.%3."/>
      <w:lvlJc w:val="left"/>
      <w:pPr>
        <w:ind w:left="1750" w:hanging="856"/>
        <w:jc w:val="left"/>
      </w:pPr>
      <w:rPr>
        <w:rFonts w:hint="default" w:ascii="Times New Roman" w:hAnsi="Times New Roman" w:eastAsia="Times New Roman" w:cs="Times New Roman"/>
        <w:spacing w:val="-4"/>
        <w:w w:val="99"/>
        <w:sz w:val="24"/>
        <w:szCs w:val="24"/>
        <w:lang w:val="fr-FR" w:eastAsia="fr-FR" w:bidi="fr-FR"/>
      </w:rPr>
    </w:lvl>
    <w:lvl w:ilvl="3">
      <w:start w:val="0"/>
      <w:numFmt w:val="bullet"/>
      <w:lvlText w:val="•"/>
      <w:lvlJc w:val="left"/>
      <w:pPr>
        <w:ind w:left="4580" w:hanging="856"/>
      </w:pPr>
      <w:rPr>
        <w:rFonts w:hint="default"/>
        <w:lang w:val="fr-FR" w:eastAsia="fr-FR" w:bidi="fr-FR"/>
      </w:rPr>
    </w:lvl>
    <w:lvl w:ilvl="4">
      <w:start w:val="0"/>
      <w:numFmt w:val="bullet"/>
      <w:lvlText w:val="•"/>
      <w:lvlJc w:val="left"/>
      <w:pPr>
        <w:ind w:left="5520" w:hanging="856"/>
      </w:pPr>
      <w:rPr>
        <w:rFonts w:hint="default"/>
        <w:lang w:val="fr-FR" w:eastAsia="fr-FR" w:bidi="fr-FR"/>
      </w:rPr>
    </w:lvl>
    <w:lvl w:ilvl="5">
      <w:start w:val="0"/>
      <w:numFmt w:val="bullet"/>
      <w:lvlText w:val="•"/>
      <w:lvlJc w:val="left"/>
      <w:pPr>
        <w:ind w:left="6460" w:hanging="856"/>
      </w:pPr>
      <w:rPr>
        <w:rFonts w:hint="default"/>
        <w:lang w:val="fr-FR" w:eastAsia="fr-FR" w:bidi="fr-FR"/>
      </w:rPr>
    </w:lvl>
    <w:lvl w:ilvl="6">
      <w:start w:val="0"/>
      <w:numFmt w:val="bullet"/>
      <w:lvlText w:val="•"/>
      <w:lvlJc w:val="left"/>
      <w:pPr>
        <w:ind w:left="7400" w:hanging="856"/>
      </w:pPr>
      <w:rPr>
        <w:rFonts w:hint="default"/>
        <w:lang w:val="fr-FR" w:eastAsia="fr-FR" w:bidi="fr-FR"/>
      </w:rPr>
    </w:lvl>
    <w:lvl w:ilvl="7">
      <w:start w:val="0"/>
      <w:numFmt w:val="bullet"/>
      <w:lvlText w:val="•"/>
      <w:lvlJc w:val="left"/>
      <w:pPr>
        <w:ind w:left="8340" w:hanging="856"/>
      </w:pPr>
      <w:rPr>
        <w:rFonts w:hint="default"/>
        <w:lang w:val="fr-FR" w:eastAsia="fr-FR" w:bidi="fr-FR"/>
      </w:rPr>
    </w:lvl>
    <w:lvl w:ilvl="8">
      <w:start w:val="0"/>
      <w:numFmt w:val="bullet"/>
      <w:lvlText w:val="•"/>
      <w:lvlJc w:val="left"/>
      <w:pPr>
        <w:ind w:left="9280" w:hanging="856"/>
      </w:pPr>
      <w:rPr>
        <w:rFonts w:hint="default"/>
        <w:lang w:val="fr-FR" w:eastAsia="fr-FR" w:bidi="fr-FR"/>
      </w:rPr>
    </w:lvl>
  </w:abstractNum>
  <w:abstractNum w:abstractNumId="7">
    <w:multiLevelType w:val="hybridMultilevel"/>
    <w:lvl w:ilvl="0">
      <w:start w:val="4"/>
      <w:numFmt w:val="upperRoman"/>
      <w:lvlText w:val="%1"/>
      <w:lvlJc w:val="left"/>
      <w:pPr>
        <w:ind w:left="1630" w:hanging="736"/>
        <w:jc w:val="left"/>
      </w:pPr>
      <w:rPr>
        <w:rFonts w:hint="default"/>
        <w:lang w:val="fr-FR" w:eastAsia="fr-FR" w:bidi="fr-FR"/>
      </w:rPr>
    </w:lvl>
    <w:lvl w:ilvl="1">
      <w:start w:val="1"/>
      <w:numFmt w:val="decimal"/>
      <w:lvlText w:val="%1.%2"/>
      <w:lvlJc w:val="left"/>
      <w:pPr>
        <w:ind w:left="1630" w:hanging="736"/>
        <w:jc w:val="left"/>
      </w:pPr>
      <w:rPr>
        <w:rFonts w:hint="default"/>
        <w:lang w:val="fr-FR" w:eastAsia="fr-FR" w:bidi="fr-FR"/>
      </w:rPr>
    </w:lvl>
    <w:lvl w:ilvl="2">
      <w:start w:val="7"/>
      <w:numFmt w:val="decimal"/>
      <w:lvlText w:val="%1.%2.%3."/>
      <w:lvlJc w:val="left"/>
      <w:pPr>
        <w:ind w:left="1630" w:hanging="736"/>
        <w:jc w:val="left"/>
      </w:pPr>
      <w:rPr>
        <w:rFonts w:hint="default" w:ascii="Times New Roman" w:hAnsi="Times New Roman" w:eastAsia="Times New Roman" w:cs="Times New Roman"/>
        <w:spacing w:val="-4"/>
        <w:w w:val="99"/>
        <w:sz w:val="24"/>
        <w:szCs w:val="24"/>
        <w:lang w:val="fr-FR" w:eastAsia="fr-FR" w:bidi="fr-FR"/>
      </w:rPr>
    </w:lvl>
    <w:lvl w:ilvl="3">
      <w:start w:val="0"/>
      <w:numFmt w:val="bullet"/>
      <w:lvlText w:val="•"/>
      <w:lvlJc w:val="left"/>
      <w:pPr>
        <w:ind w:left="4496" w:hanging="736"/>
      </w:pPr>
      <w:rPr>
        <w:rFonts w:hint="default"/>
        <w:lang w:val="fr-FR" w:eastAsia="fr-FR" w:bidi="fr-FR"/>
      </w:rPr>
    </w:lvl>
    <w:lvl w:ilvl="4">
      <w:start w:val="0"/>
      <w:numFmt w:val="bullet"/>
      <w:lvlText w:val="•"/>
      <w:lvlJc w:val="left"/>
      <w:pPr>
        <w:ind w:left="5448" w:hanging="736"/>
      </w:pPr>
      <w:rPr>
        <w:rFonts w:hint="default"/>
        <w:lang w:val="fr-FR" w:eastAsia="fr-FR" w:bidi="fr-FR"/>
      </w:rPr>
    </w:lvl>
    <w:lvl w:ilvl="5">
      <w:start w:val="0"/>
      <w:numFmt w:val="bullet"/>
      <w:lvlText w:val="•"/>
      <w:lvlJc w:val="left"/>
      <w:pPr>
        <w:ind w:left="6400" w:hanging="736"/>
      </w:pPr>
      <w:rPr>
        <w:rFonts w:hint="default"/>
        <w:lang w:val="fr-FR" w:eastAsia="fr-FR" w:bidi="fr-FR"/>
      </w:rPr>
    </w:lvl>
    <w:lvl w:ilvl="6">
      <w:start w:val="0"/>
      <w:numFmt w:val="bullet"/>
      <w:lvlText w:val="•"/>
      <w:lvlJc w:val="left"/>
      <w:pPr>
        <w:ind w:left="7352" w:hanging="736"/>
      </w:pPr>
      <w:rPr>
        <w:rFonts w:hint="default"/>
        <w:lang w:val="fr-FR" w:eastAsia="fr-FR" w:bidi="fr-FR"/>
      </w:rPr>
    </w:lvl>
    <w:lvl w:ilvl="7">
      <w:start w:val="0"/>
      <w:numFmt w:val="bullet"/>
      <w:lvlText w:val="•"/>
      <w:lvlJc w:val="left"/>
      <w:pPr>
        <w:ind w:left="8304" w:hanging="736"/>
      </w:pPr>
      <w:rPr>
        <w:rFonts w:hint="default"/>
        <w:lang w:val="fr-FR" w:eastAsia="fr-FR" w:bidi="fr-FR"/>
      </w:rPr>
    </w:lvl>
    <w:lvl w:ilvl="8">
      <w:start w:val="0"/>
      <w:numFmt w:val="bullet"/>
      <w:lvlText w:val="•"/>
      <w:lvlJc w:val="left"/>
      <w:pPr>
        <w:ind w:left="9256" w:hanging="736"/>
      </w:pPr>
      <w:rPr>
        <w:rFonts w:hint="default"/>
        <w:lang w:val="fr-FR" w:eastAsia="fr-FR" w:bidi="fr-FR"/>
      </w:rPr>
    </w:lvl>
  </w:abstractNum>
  <w:abstractNum w:abstractNumId="6">
    <w:multiLevelType w:val="hybridMultilevel"/>
    <w:lvl w:ilvl="0">
      <w:start w:val="4"/>
      <w:numFmt w:val="upperRoman"/>
      <w:lvlText w:val="%1"/>
      <w:lvlJc w:val="left"/>
      <w:pPr>
        <w:ind w:left="1171" w:hanging="496"/>
        <w:jc w:val="left"/>
      </w:pPr>
      <w:rPr>
        <w:rFonts w:hint="default"/>
        <w:lang w:val="fr-FR" w:eastAsia="fr-FR" w:bidi="fr-FR"/>
      </w:rPr>
    </w:lvl>
    <w:lvl w:ilvl="1">
      <w:start w:val="1"/>
      <w:numFmt w:val="decimal"/>
      <w:lvlText w:val="%1.%2."/>
      <w:lvlJc w:val="left"/>
      <w:pPr>
        <w:ind w:left="1171" w:hanging="496"/>
        <w:jc w:val="left"/>
      </w:pPr>
      <w:rPr>
        <w:rFonts w:hint="default" w:ascii="Times New Roman" w:hAnsi="Times New Roman" w:eastAsia="Times New Roman" w:cs="Times New Roman"/>
        <w:spacing w:val="-4"/>
        <w:w w:val="99"/>
        <w:sz w:val="22"/>
        <w:szCs w:val="22"/>
        <w:lang w:val="fr-FR" w:eastAsia="fr-FR" w:bidi="fr-FR"/>
      </w:rPr>
    </w:lvl>
    <w:lvl w:ilvl="2">
      <w:start w:val="1"/>
      <w:numFmt w:val="decimal"/>
      <w:lvlText w:val="%1.%2.%3."/>
      <w:lvlJc w:val="left"/>
      <w:pPr>
        <w:ind w:left="1630" w:hanging="736"/>
        <w:jc w:val="left"/>
      </w:pPr>
      <w:rPr>
        <w:rFonts w:hint="default" w:ascii="Times New Roman" w:hAnsi="Times New Roman" w:eastAsia="Times New Roman" w:cs="Times New Roman"/>
        <w:spacing w:val="-4"/>
        <w:w w:val="99"/>
        <w:sz w:val="24"/>
        <w:szCs w:val="24"/>
        <w:lang w:val="fr-FR" w:eastAsia="fr-FR" w:bidi="fr-FR"/>
      </w:rPr>
    </w:lvl>
    <w:lvl w:ilvl="3">
      <w:start w:val="0"/>
      <w:numFmt w:val="bullet"/>
      <w:lvlText w:val=""/>
      <w:lvlJc w:val="left"/>
      <w:pPr>
        <w:ind w:left="1438" w:hanging="360"/>
      </w:pPr>
      <w:rPr>
        <w:rFonts w:hint="default" w:ascii="Wingdings" w:hAnsi="Wingdings" w:eastAsia="Wingdings" w:cs="Wingdings"/>
        <w:w w:val="100"/>
        <w:sz w:val="24"/>
        <w:szCs w:val="24"/>
        <w:lang w:val="fr-FR" w:eastAsia="fr-FR" w:bidi="fr-FR"/>
      </w:rPr>
    </w:lvl>
    <w:lvl w:ilvl="4">
      <w:start w:val="0"/>
      <w:numFmt w:val="bullet"/>
      <w:lvlText w:val="•"/>
      <w:lvlJc w:val="left"/>
      <w:pPr>
        <w:ind w:left="4020" w:hanging="360"/>
      </w:pPr>
      <w:rPr>
        <w:rFonts w:hint="default"/>
        <w:lang w:val="fr-FR" w:eastAsia="fr-FR" w:bidi="fr-FR"/>
      </w:rPr>
    </w:lvl>
    <w:lvl w:ilvl="5">
      <w:start w:val="0"/>
      <w:numFmt w:val="bullet"/>
      <w:lvlText w:val="•"/>
      <w:lvlJc w:val="left"/>
      <w:pPr>
        <w:ind w:left="5210" w:hanging="360"/>
      </w:pPr>
      <w:rPr>
        <w:rFonts w:hint="default"/>
        <w:lang w:val="fr-FR" w:eastAsia="fr-FR" w:bidi="fr-FR"/>
      </w:rPr>
    </w:lvl>
    <w:lvl w:ilvl="6">
      <w:start w:val="0"/>
      <w:numFmt w:val="bullet"/>
      <w:lvlText w:val="•"/>
      <w:lvlJc w:val="left"/>
      <w:pPr>
        <w:ind w:left="6400" w:hanging="360"/>
      </w:pPr>
      <w:rPr>
        <w:rFonts w:hint="default"/>
        <w:lang w:val="fr-FR" w:eastAsia="fr-FR" w:bidi="fr-FR"/>
      </w:rPr>
    </w:lvl>
    <w:lvl w:ilvl="7">
      <w:start w:val="0"/>
      <w:numFmt w:val="bullet"/>
      <w:lvlText w:val="•"/>
      <w:lvlJc w:val="left"/>
      <w:pPr>
        <w:ind w:left="7590" w:hanging="360"/>
      </w:pPr>
      <w:rPr>
        <w:rFonts w:hint="default"/>
        <w:lang w:val="fr-FR" w:eastAsia="fr-FR" w:bidi="fr-FR"/>
      </w:rPr>
    </w:lvl>
    <w:lvl w:ilvl="8">
      <w:start w:val="0"/>
      <w:numFmt w:val="bullet"/>
      <w:lvlText w:val="•"/>
      <w:lvlJc w:val="left"/>
      <w:pPr>
        <w:ind w:left="8780" w:hanging="360"/>
      </w:pPr>
      <w:rPr>
        <w:rFonts w:hint="default"/>
        <w:lang w:val="fr-FR" w:eastAsia="fr-FR" w:bidi="fr-FR"/>
      </w:rPr>
    </w:lvl>
  </w:abstractNum>
  <w:abstractNum w:abstractNumId="5">
    <w:multiLevelType w:val="hybridMultilevel"/>
    <w:lvl w:ilvl="0">
      <w:start w:val="3"/>
      <w:numFmt w:val="upperRoman"/>
      <w:lvlText w:val="%1"/>
      <w:lvlJc w:val="left"/>
      <w:pPr>
        <w:ind w:left="1211" w:hanging="536"/>
        <w:jc w:val="left"/>
      </w:pPr>
      <w:rPr>
        <w:rFonts w:hint="default"/>
        <w:lang w:val="fr-FR" w:eastAsia="fr-FR" w:bidi="fr-FR"/>
      </w:rPr>
    </w:lvl>
    <w:lvl w:ilvl="1">
      <w:start w:val="1"/>
      <w:numFmt w:val="decimal"/>
      <w:lvlText w:val="%1.%2."/>
      <w:lvlJc w:val="left"/>
      <w:pPr>
        <w:ind w:left="1211" w:hanging="536"/>
        <w:jc w:val="left"/>
      </w:pPr>
      <w:rPr>
        <w:rFonts w:hint="default" w:ascii="Times New Roman" w:hAnsi="Times New Roman" w:eastAsia="Times New Roman" w:cs="Times New Roman"/>
        <w:spacing w:val="-4"/>
        <w:w w:val="99"/>
        <w:sz w:val="24"/>
        <w:szCs w:val="24"/>
        <w:lang w:val="fr-FR" w:eastAsia="fr-FR" w:bidi="fr-FR"/>
      </w:rPr>
    </w:lvl>
    <w:lvl w:ilvl="2">
      <w:start w:val="1"/>
      <w:numFmt w:val="decimal"/>
      <w:lvlText w:val="%1.%2.%3."/>
      <w:lvlJc w:val="left"/>
      <w:pPr>
        <w:ind w:left="1551" w:hanging="657"/>
        <w:jc w:val="left"/>
      </w:pPr>
      <w:rPr>
        <w:rFonts w:hint="default" w:ascii="Times New Roman" w:hAnsi="Times New Roman" w:eastAsia="Times New Roman" w:cs="Times New Roman"/>
        <w:spacing w:val="-4"/>
        <w:w w:val="99"/>
        <w:sz w:val="22"/>
        <w:szCs w:val="22"/>
        <w:lang w:val="fr-FR" w:eastAsia="fr-FR" w:bidi="fr-FR"/>
      </w:rPr>
    </w:lvl>
    <w:lvl w:ilvl="3">
      <w:start w:val="0"/>
      <w:numFmt w:val="bullet"/>
      <w:lvlText w:val="•"/>
      <w:lvlJc w:val="left"/>
      <w:pPr>
        <w:ind w:left="2812" w:hanging="657"/>
      </w:pPr>
      <w:rPr>
        <w:rFonts w:hint="default"/>
        <w:lang w:val="fr-FR" w:eastAsia="fr-FR" w:bidi="fr-FR"/>
      </w:rPr>
    </w:lvl>
    <w:lvl w:ilvl="4">
      <w:start w:val="0"/>
      <w:numFmt w:val="bullet"/>
      <w:lvlText w:val="•"/>
      <w:lvlJc w:val="left"/>
      <w:pPr>
        <w:ind w:left="4005" w:hanging="657"/>
      </w:pPr>
      <w:rPr>
        <w:rFonts w:hint="default"/>
        <w:lang w:val="fr-FR" w:eastAsia="fr-FR" w:bidi="fr-FR"/>
      </w:rPr>
    </w:lvl>
    <w:lvl w:ilvl="5">
      <w:start w:val="0"/>
      <w:numFmt w:val="bullet"/>
      <w:lvlText w:val="•"/>
      <w:lvlJc w:val="left"/>
      <w:pPr>
        <w:ind w:left="5197" w:hanging="657"/>
      </w:pPr>
      <w:rPr>
        <w:rFonts w:hint="default"/>
        <w:lang w:val="fr-FR" w:eastAsia="fr-FR" w:bidi="fr-FR"/>
      </w:rPr>
    </w:lvl>
    <w:lvl w:ilvl="6">
      <w:start w:val="0"/>
      <w:numFmt w:val="bullet"/>
      <w:lvlText w:val="•"/>
      <w:lvlJc w:val="left"/>
      <w:pPr>
        <w:ind w:left="6390" w:hanging="657"/>
      </w:pPr>
      <w:rPr>
        <w:rFonts w:hint="default"/>
        <w:lang w:val="fr-FR" w:eastAsia="fr-FR" w:bidi="fr-FR"/>
      </w:rPr>
    </w:lvl>
    <w:lvl w:ilvl="7">
      <w:start w:val="0"/>
      <w:numFmt w:val="bullet"/>
      <w:lvlText w:val="•"/>
      <w:lvlJc w:val="left"/>
      <w:pPr>
        <w:ind w:left="7582" w:hanging="657"/>
      </w:pPr>
      <w:rPr>
        <w:rFonts w:hint="default"/>
        <w:lang w:val="fr-FR" w:eastAsia="fr-FR" w:bidi="fr-FR"/>
      </w:rPr>
    </w:lvl>
    <w:lvl w:ilvl="8">
      <w:start w:val="0"/>
      <w:numFmt w:val="bullet"/>
      <w:lvlText w:val="•"/>
      <w:lvlJc w:val="left"/>
      <w:pPr>
        <w:ind w:left="8775" w:hanging="657"/>
      </w:pPr>
      <w:rPr>
        <w:rFonts w:hint="default"/>
        <w:lang w:val="fr-FR" w:eastAsia="fr-FR" w:bidi="fr-FR"/>
      </w:rPr>
    </w:lvl>
  </w:abstractNum>
  <w:abstractNum w:abstractNumId="4">
    <w:multiLevelType w:val="hybridMultilevel"/>
    <w:lvl w:ilvl="0">
      <w:start w:val="2"/>
      <w:numFmt w:val="upperRoman"/>
      <w:lvlText w:val="%1"/>
      <w:lvlJc w:val="left"/>
      <w:pPr>
        <w:ind w:left="1938" w:hanging="824"/>
        <w:jc w:val="left"/>
      </w:pPr>
      <w:rPr>
        <w:rFonts w:hint="default"/>
        <w:lang w:val="fr-FR" w:eastAsia="fr-FR" w:bidi="fr-FR"/>
      </w:rPr>
    </w:lvl>
    <w:lvl w:ilvl="1">
      <w:start w:val="2"/>
      <w:numFmt w:val="decimal"/>
      <w:lvlText w:val="%1.%2"/>
      <w:lvlJc w:val="left"/>
      <w:pPr>
        <w:ind w:left="1938" w:hanging="824"/>
        <w:jc w:val="left"/>
      </w:pPr>
      <w:rPr>
        <w:rFonts w:hint="default"/>
        <w:lang w:val="fr-FR" w:eastAsia="fr-FR" w:bidi="fr-FR"/>
      </w:rPr>
    </w:lvl>
    <w:lvl w:ilvl="2">
      <w:start w:val="2"/>
      <w:numFmt w:val="decimal"/>
      <w:lvlText w:val="%1.%2.%3"/>
      <w:lvlJc w:val="left"/>
      <w:pPr>
        <w:ind w:left="1938" w:hanging="824"/>
        <w:jc w:val="left"/>
      </w:pPr>
      <w:rPr>
        <w:rFonts w:hint="default"/>
        <w:lang w:val="fr-FR" w:eastAsia="fr-FR" w:bidi="fr-FR"/>
      </w:rPr>
    </w:lvl>
    <w:lvl w:ilvl="3">
      <w:start w:val="1"/>
      <w:numFmt w:val="decimal"/>
      <w:lvlText w:val="%1.%2.%3.%4."/>
      <w:lvlJc w:val="left"/>
      <w:pPr>
        <w:ind w:left="1938" w:hanging="824"/>
        <w:jc w:val="left"/>
      </w:pPr>
      <w:rPr>
        <w:rFonts w:hint="default" w:ascii="Times New Roman" w:hAnsi="Times New Roman" w:eastAsia="Times New Roman" w:cs="Times New Roman"/>
        <w:spacing w:val="-4"/>
        <w:w w:val="99"/>
        <w:sz w:val="24"/>
        <w:szCs w:val="24"/>
        <w:lang w:val="fr-FR" w:eastAsia="fr-FR" w:bidi="fr-FR"/>
      </w:rPr>
    </w:lvl>
    <w:lvl w:ilvl="4">
      <w:start w:val="0"/>
      <w:numFmt w:val="bullet"/>
      <w:lvlText w:val="•"/>
      <w:lvlJc w:val="left"/>
      <w:pPr>
        <w:ind w:left="5628" w:hanging="824"/>
      </w:pPr>
      <w:rPr>
        <w:rFonts w:hint="default"/>
        <w:lang w:val="fr-FR" w:eastAsia="fr-FR" w:bidi="fr-FR"/>
      </w:rPr>
    </w:lvl>
    <w:lvl w:ilvl="5">
      <w:start w:val="0"/>
      <w:numFmt w:val="bullet"/>
      <w:lvlText w:val="•"/>
      <w:lvlJc w:val="left"/>
      <w:pPr>
        <w:ind w:left="6550" w:hanging="824"/>
      </w:pPr>
      <w:rPr>
        <w:rFonts w:hint="default"/>
        <w:lang w:val="fr-FR" w:eastAsia="fr-FR" w:bidi="fr-FR"/>
      </w:rPr>
    </w:lvl>
    <w:lvl w:ilvl="6">
      <w:start w:val="0"/>
      <w:numFmt w:val="bullet"/>
      <w:lvlText w:val="•"/>
      <w:lvlJc w:val="left"/>
      <w:pPr>
        <w:ind w:left="7472" w:hanging="824"/>
      </w:pPr>
      <w:rPr>
        <w:rFonts w:hint="default"/>
        <w:lang w:val="fr-FR" w:eastAsia="fr-FR" w:bidi="fr-FR"/>
      </w:rPr>
    </w:lvl>
    <w:lvl w:ilvl="7">
      <w:start w:val="0"/>
      <w:numFmt w:val="bullet"/>
      <w:lvlText w:val="•"/>
      <w:lvlJc w:val="left"/>
      <w:pPr>
        <w:ind w:left="8394" w:hanging="824"/>
      </w:pPr>
      <w:rPr>
        <w:rFonts w:hint="default"/>
        <w:lang w:val="fr-FR" w:eastAsia="fr-FR" w:bidi="fr-FR"/>
      </w:rPr>
    </w:lvl>
    <w:lvl w:ilvl="8">
      <w:start w:val="0"/>
      <w:numFmt w:val="bullet"/>
      <w:lvlText w:val="•"/>
      <w:lvlJc w:val="left"/>
      <w:pPr>
        <w:ind w:left="9316" w:hanging="824"/>
      </w:pPr>
      <w:rPr>
        <w:rFonts w:hint="default"/>
        <w:lang w:val="fr-FR" w:eastAsia="fr-FR" w:bidi="fr-FR"/>
      </w:rPr>
    </w:lvl>
  </w:abstractNum>
  <w:abstractNum w:abstractNumId="3">
    <w:multiLevelType w:val="hybridMultilevel"/>
    <w:lvl w:ilvl="0">
      <w:start w:val="2"/>
      <w:numFmt w:val="upperRoman"/>
      <w:lvlText w:val="%1"/>
      <w:lvlJc w:val="left"/>
      <w:pPr>
        <w:ind w:left="1930" w:hanging="816"/>
        <w:jc w:val="left"/>
      </w:pPr>
      <w:rPr>
        <w:rFonts w:hint="default"/>
        <w:lang w:val="fr-FR" w:eastAsia="fr-FR" w:bidi="fr-FR"/>
      </w:rPr>
    </w:lvl>
    <w:lvl w:ilvl="1">
      <w:start w:val="2"/>
      <w:numFmt w:val="decimal"/>
      <w:lvlText w:val="%1.%2"/>
      <w:lvlJc w:val="left"/>
      <w:pPr>
        <w:ind w:left="1930" w:hanging="816"/>
        <w:jc w:val="left"/>
      </w:pPr>
      <w:rPr>
        <w:rFonts w:hint="default"/>
        <w:lang w:val="fr-FR" w:eastAsia="fr-FR" w:bidi="fr-FR"/>
      </w:rPr>
    </w:lvl>
    <w:lvl w:ilvl="2">
      <w:start w:val="1"/>
      <w:numFmt w:val="decimal"/>
      <w:lvlText w:val="%1.%2.%3"/>
      <w:lvlJc w:val="left"/>
      <w:pPr>
        <w:ind w:left="1930" w:hanging="816"/>
        <w:jc w:val="left"/>
      </w:pPr>
      <w:rPr>
        <w:rFonts w:hint="default"/>
        <w:lang w:val="fr-FR" w:eastAsia="fr-FR" w:bidi="fr-FR"/>
      </w:rPr>
    </w:lvl>
    <w:lvl w:ilvl="3">
      <w:start w:val="1"/>
      <w:numFmt w:val="decimal"/>
      <w:lvlText w:val="%1.%2.%3.%4."/>
      <w:lvlJc w:val="left"/>
      <w:pPr>
        <w:ind w:left="1930" w:hanging="816"/>
        <w:jc w:val="left"/>
      </w:pPr>
      <w:rPr>
        <w:rFonts w:hint="default" w:ascii="Times New Roman" w:hAnsi="Times New Roman" w:eastAsia="Times New Roman" w:cs="Times New Roman"/>
        <w:spacing w:val="-4"/>
        <w:w w:val="99"/>
        <w:sz w:val="24"/>
        <w:szCs w:val="24"/>
        <w:lang w:val="fr-FR" w:eastAsia="fr-FR" w:bidi="fr-FR"/>
      </w:rPr>
    </w:lvl>
    <w:lvl w:ilvl="4">
      <w:start w:val="0"/>
      <w:numFmt w:val="bullet"/>
      <w:lvlText w:val="•"/>
      <w:lvlJc w:val="left"/>
      <w:pPr>
        <w:ind w:left="5628" w:hanging="816"/>
      </w:pPr>
      <w:rPr>
        <w:rFonts w:hint="default"/>
        <w:lang w:val="fr-FR" w:eastAsia="fr-FR" w:bidi="fr-FR"/>
      </w:rPr>
    </w:lvl>
    <w:lvl w:ilvl="5">
      <w:start w:val="0"/>
      <w:numFmt w:val="bullet"/>
      <w:lvlText w:val="•"/>
      <w:lvlJc w:val="left"/>
      <w:pPr>
        <w:ind w:left="6550" w:hanging="816"/>
      </w:pPr>
      <w:rPr>
        <w:rFonts w:hint="default"/>
        <w:lang w:val="fr-FR" w:eastAsia="fr-FR" w:bidi="fr-FR"/>
      </w:rPr>
    </w:lvl>
    <w:lvl w:ilvl="6">
      <w:start w:val="0"/>
      <w:numFmt w:val="bullet"/>
      <w:lvlText w:val="•"/>
      <w:lvlJc w:val="left"/>
      <w:pPr>
        <w:ind w:left="7472" w:hanging="816"/>
      </w:pPr>
      <w:rPr>
        <w:rFonts w:hint="default"/>
        <w:lang w:val="fr-FR" w:eastAsia="fr-FR" w:bidi="fr-FR"/>
      </w:rPr>
    </w:lvl>
    <w:lvl w:ilvl="7">
      <w:start w:val="0"/>
      <w:numFmt w:val="bullet"/>
      <w:lvlText w:val="•"/>
      <w:lvlJc w:val="left"/>
      <w:pPr>
        <w:ind w:left="8394" w:hanging="816"/>
      </w:pPr>
      <w:rPr>
        <w:rFonts w:hint="default"/>
        <w:lang w:val="fr-FR" w:eastAsia="fr-FR" w:bidi="fr-FR"/>
      </w:rPr>
    </w:lvl>
    <w:lvl w:ilvl="8">
      <w:start w:val="0"/>
      <w:numFmt w:val="bullet"/>
      <w:lvlText w:val="•"/>
      <w:lvlJc w:val="left"/>
      <w:pPr>
        <w:ind w:left="9316" w:hanging="816"/>
      </w:pPr>
      <w:rPr>
        <w:rFonts w:hint="default"/>
        <w:lang w:val="fr-FR" w:eastAsia="fr-FR" w:bidi="fr-FR"/>
      </w:rPr>
    </w:lvl>
  </w:abstractNum>
  <w:abstractNum w:abstractNumId="2">
    <w:multiLevelType w:val="hybridMultilevel"/>
    <w:lvl w:ilvl="0">
      <w:start w:val="2"/>
      <w:numFmt w:val="upperRoman"/>
      <w:lvlText w:val="%1"/>
      <w:lvlJc w:val="left"/>
      <w:pPr>
        <w:ind w:left="1131" w:hanging="456"/>
        <w:jc w:val="left"/>
      </w:pPr>
      <w:rPr>
        <w:rFonts w:hint="default"/>
        <w:lang w:val="fr-FR" w:eastAsia="fr-FR" w:bidi="fr-FR"/>
      </w:rPr>
    </w:lvl>
    <w:lvl w:ilvl="1">
      <w:start w:val="1"/>
      <w:numFmt w:val="decimal"/>
      <w:lvlText w:val="%1.%2."/>
      <w:lvlJc w:val="left"/>
      <w:pPr>
        <w:ind w:left="1131" w:hanging="456"/>
        <w:jc w:val="left"/>
      </w:pPr>
      <w:rPr>
        <w:rFonts w:hint="default" w:ascii="Times New Roman" w:hAnsi="Times New Roman" w:eastAsia="Times New Roman" w:cs="Times New Roman"/>
        <w:spacing w:val="-4"/>
        <w:w w:val="99"/>
        <w:sz w:val="24"/>
        <w:szCs w:val="24"/>
        <w:lang w:val="fr-FR" w:eastAsia="fr-FR" w:bidi="fr-FR"/>
      </w:rPr>
    </w:lvl>
    <w:lvl w:ilvl="2">
      <w:start w:val="1"/>
      <w:numFmt w:val="decimal"/>
      <w:lvlText w:val="%1.%2.%3."/>
      <w:lvlJc w:val="left"/>
      <w:pPr>
        <w:ind w:left="1530" w:hanging="636"/>
        <w:jc w:val="left"/>
      </w:pPr>
      <w:rPr>
        <w:rFonts w:hint="default" w:ascii="Times New Roman" w:hAnsi="Times New Roman" w:eastAsia="Times New Roman" w:cs="Times New Roman"/>
        <w:spacing w:val="-4"/>
        <w:w w:val="99"/>
        <w:sz w:val="24"/>
        <w:szCs w:val="24"/>
        <w:lang w:val="fr-FR" w:eastAsia="fr-FR" w:bidi="fr-FR"/>
      </w:rPr>
    </w:lvl>
    <w:lvl w:ilvl="3">
      <w:start w:val="2"/>
      <w:numFmt w:val="decimal"/>
      <w:lvlText w:val="%1.%2.%3.%4."/>
      <w:lvlJc w:val="left"/>
      <w:pPr>
        <w:ind w:left="1938" w:hanging="824"/>
        <w:jc w:val="left"/>
      </w:pPr>
      <w:rPr>
        <w:rFonts w:hint="default" w:ascii="Times New Roman" w:hAnsi="Times New Roman" w:eastAsia="Times New Roman" w:cs="Times New Roman"/>
        <w:spacing w:val="-4"/>
        <w:w w:val="99"/>
        <w:sz w:val="24"/>
        <w:szCs w:val="24"/>
        <w:lang w:val="fr-FR" w:eastAsia="fr-FR" w:bidi="fr-FR"/>
      </w:rPr>
    </w:lvl>
    <w:lvl w:ilvl="4">
      <w:start w:val="0"/>
      <w:numFmt w:val="bullet"/>
      <w:lvlText w:val="•"/>
      <w:lvlJc w:val="left"/>
      <w:pPr>
        <w:ind w:left="3257" w:hanging="824"/>
      </w:pPr>
      <w:rPr>
        <w:rFonts w:hint="default"/>
        <w:lang w:val="fr-FR" w:eastAsia="fr-FR" w:bidi="fr-FR"/>
      </w:rPr>
    </w:lvl>
    <w:lvl w:ilvl="5">
      <w:start w:val="0"/>
      <w:numFmt w:val="bullet"/>
      <w:lvlText w:val="•"/>
      <w:lvlJc w:val="left"/>
      <w:pPr>
        <w:ind w:left="4574" w:hanging="824"/>
      </w:pPr>
      <w:rPr>
        <w:rFonts w:hint="default"/>
        <w:lang w:val="fr-FR" w:eastAsia="fr-FR" w:bidi="fr-FR"/>
      </w:rPr>
    </w:lvl>
    <w:lvl w:ilvl="6">
      <w:start w:val="0"/>
      <w:numFmt w:val="bullet"/>
      <w:lvlText w:val="•"/>
      <w:lvlJc w:val="left"/>
      <w:pPr>
        <w:ind w:left="5891" w:hanging="824"/>
      </w:pPr>
      <w:rPr>
        <w:rFonts w:hint="default"/>
        <w:lang w:val="fr-FR" w:eastAsia="fr-FR" w:bidi="fr-FR"/>
      </w:rPr>
    </w:lvl>
    <w:lvl w:ilvl="7">
      <w:start w:val="0"/>
      <w:numFmt w:val="bullet"/>
      <w:lvlText w:val="•"/>
      <w:lvlJc w:val="left"/>
      <w:pPr>
        <w:ind w:left="7208" w:hanging="824"/>
      </w:pPr>
      <w:rPr>
        <w:rFonts w:hint="default"/>
        <w:lang w:val="fr-FR" w:eastAsia="fr-FR" w:bidi="fr-FR"/>
      </w:rPr>
    </w:lvl>
    <w:lvl w:ilvl="8">
      <w:start w:val="0"/>
      <w:numFmt w:val="bullet"/>
      <w:lvlText w:val="•"/>
      <w:lvlJc w:val="left"/>
      <w:pPr>
        <w:ind w:left="8525" w:hanging="824"/>
      </w:pPr>
      <w:rPr>
        <w:rFonts w:hint="default"/>
        <w:lang w:val="fr-FR" w:eastAsia="fr-FR" w:bidi="fr-FR"/>
      </w:rPr>
    </w:lvl>
  </w:abstractNum>
  <w:abstractNum w:abstractNumId="1">
    <w:multiLevelType w:val="hybridMultilevel"/>
    <w:lvl w:ilvl="0">
      <w:start w:val="1"/>
      <w:numFmt w:val="upperRoman"/>
      <w:lvlText w:val="%1"/>
      <w:lvlJc w:val="left"/>
      <w:pPr>
        <w:ind w:left="1491" w:hanging="376"/>
        <w:jc w:val="left"/>
      </w:pPr>
      <w:rPr>
        <w:rFonts w:hint="default"/>
        <w:lang w:val="fr-FR" w:eastAsia="fr-FR" w:bidi="fr-FR"/>
      </w:rPr>
    </w:lvl>
    <w:lvl w:ilvl="1">
      <w:start w:val="4"/>
      <w:numFmt w:val="decimal"/>
      <w:lvlText w:val="%1.%2."/>
      <w:lvlJc w:val="left"/>
      <w:pPr>
        <w:ind w:left="1491" w:hanging="376"/>
        <w:jc w:val="right"/>
      </w:pPr>
      <w:rPr>
        <w:rFonts w:hint="default" w:ascii="Times New Roman" w:hAnsi="Times New Roman" w:eastAsia="Times New Roman" w:cs="Times New Roman"/>
        <w:spacing w:val="-4"/>
        <w:w w:val="99"/>
        <w:sz w:val="24"/>
        <w:szCs w:val="24"/>
        <w:lang w:val="fr-FR" w:eastAsia="fr-FR" w:bidi="fr-FR"/>
      </w:rPr>
    </w:lvl>
    <w:lvl w:ilvl="2">
      <w:start w:val="3"/>
      <w:numFmt w:val="decimal"/>
      <w:lvlText w:val="%1.%2.%3."/>
      <w:lvlJc w:val="left"/>
      <w:pPr>
        <w:ind w:left="1458" w:hanging="564"/>
        <w:jc w:val="left"/>
      </w:pPr>
      <w:rPr>
        <w:rFonts w:hint="default" w:ascii="Times New Roman" w:hAnsi="Times New Roman" w:eastAsia="Times New Roman" w:cs="Times New Roman"/>
        <w:spacing w:val="-4"/>
        <w:w w:val="99"/>
        <w:sz w:val="24"/>
        <w:szCs w:val="24"/>
        <w:lang w:val="fr-FR" w:eastAsia="fr-FR" w:bidi="fr-FR"/>
      </w:rPr>
    </w:lvl>
    <w:lvl w:ilvl="3">
      <w:start w:val="0"/>
      <w:numFmt w:val="bullet"/>
      <w:lvlText w:val="•"/>
      <w:lvlJc w:val="left"/>
      <w:pPr>
        <w:ind w:left="3646" w:hanging="564"/>
      </w:pPr>
      <w:rPr>
        <w:rFonts w:hint="default"/>
        <w:lang w:val="fr-FR" w:eastAsia="fr-FR" w:bidi="fr-FR"/>
      </w:rPr>
    </w:lvl>
    <w:lvl w:ilvl="4">
      <w:start w:val="0"/>
      <w:numFmt w:val="bullet"/>
      <w:lvlText w:val="•"/>
      <w:lvlJc w:val="left"/>
      <w:pPr>
        <w:ind w:left="4720" w:hanging="564"/>
      </w:pPr>
      <w:rPr>
        <w:rFonts w:hint="default"/>
        <w:lang w:val="fr-FR" w:eastAsia="fr-FR" w:bidi="fr-FR"/>
      </w:rPr>
    </w:lvl>
    <w:lvl w:ilvl="5">
      <w:start w:val="0"/>
      <w:numFmt w:val="bullet"/>
      <w:lvlText w:val="•"/>
      <w:lvlJc w:val="left"/>
      <w:pPr>
        <w:ind w:left="5793" w:hanging="564"/>
      </w:pPr>
      <w:rPr>
        <w:rFonts w:hint="default"/>
        <w:lang w:val="fr-FR" w:eastAsia="fr-FR" w:bidi="fr-FR"/>
      </w:rPr>
    </w:lvl>
    <w:lvl w:ilvl="6">
      <w:start w:val="0"/>
      <w:numFmt w:val="bullet"/>
      <w:lvlText w:val="•"/>
      <w:lvlJc w:val="left"/>
      <w:pPr>
        <w:ind w:left="6866" w:hanging="564"/>
      </w:pPr>
      <w:rPr>
        <w:rFonts w:hint="default"/>
        <w:lang w:val="fr-FR" w:eastAsia="fr-FR" w:bidi="fr-FR"/>
      </w:rPr>
    </w:lvl>
    <w:lvl w:ilvl="7">
      <w:start w:val="0"/>
      <w:numFmt w:val="bullet"/>
      <w:lvlText w:val="•"/>
      <w:lvlJc w:val="left"/>
      <w:pPr>
        <w:ind w:left="7940" w:hanging="564"/>
      </w:pPr>
      <w:rPr>
        <w:rFonts w:hint="default"/>
        <w:lang w:val="fr-FR" w:eastAsia="fr-FR" w:bidi="fr-FR"/>
      </w:rPr>
    </w:lvl>
    <w:lvl w:ilvl="8">
      <w:start w:val="0"/>
      <w:numFmt w:val="bullet"/>
      <w:lvlText w:val="•"/>
      <w:lvlJc w:val="left"/>
      <w:pPr>
        <w:ind w:left="9013" w:hanging="564"/>
      </w:pPr>
      <w:rPr>
        <w:rFonts w:hint="default"/>
        <w:lang w:val="fr-FR" w:eastAsia="fr-FR" w:bidi="fr-FR"/>
      </w:rPr>
    </w:lvl>
  </w:abstractNum>
  <w:abstractNum w:abstractNumId="0">
    <w:multiLevelType w:val="hybridMultilevel"/>
    <w:lvl w:ilvl="0">
      <w:start w:val="1"/>
      <w:numFmt w:val="upperRoman"/>
      <w:lvlText w:val="%1"/>
      <w:lvlJc w:val="left"/>
      <w:pPr>
        <w:ind w:left="992" w:hanging="317"/>
        <w:jc w:val="left"/>
      </w:pPr>
      <w:rPr>
        <w:rFonts w:hint="default"/>
        <w:lang w:val="fr-FR" w:eastAsia="fr-FR" w:bidi="fr-FR"/>
      </w:rPr>
    </w:lvl>
    <w:lvl w:ilvl="1">
      <w:start w:val="1"/>
      <w:numFmt w:val="decimal"/>
      <w:lvlText w:val="%1.%2."/>
      <w:lvlJc w:val="left"/>
      <w:pPr>
        <w:ind w:left="992" w:hanging="317"/>
        <w:jc w:val="right"/>
      </w:pPr>
      <w:rPr>
        <w:rFonts w:hint="default" w:ascii="Times New Roman" w:hAnsi="Times New Roman" w:eastAsia="Times New Roman" w:cs="Times New Roman"/>
        <w:spacing w:val="-4"/>
        <w:w w:val="100"/>
        <w:sz w:val="22"/>
        <w:szCs w:val="22"/>
        <w:lang w:val="fr-FR" w:eastAsia="fr-FR" w:bidi="fr-FR"/>
      </w:rPr>
    </w:lvl>
    <w:lvl w:ilvl="2">
      <w:start w:val="1"/>
      <w:numFmt w:val="decimal"/>
      <w:lvlText w:val="%1.%2.%3."/>
      <w:lvlJc w:val="left"/>
      <w:pPr>
        <w:ind w:left="1458" w:hanging="564"/>
        <w:jc w:val="left"/>
      </w:pPr>
      <w:rPr>
        <w:rFonts w:hint="default" w:ascii="Times New Roman" w:hAnsi="Times New Roman" w:eastAsia="Times New Roman" w:cs="Times New Roman"/>
        <w:spacing w:val="-4"/>
        <w:w w:val="100"/>
        <w:sz w:val="24"/>
        <w:szCs w:val="24"/>
        <w:lang w:val="fr-FR" w:eastAsia="fr-FR" w:bidi="fr-FR"/>
      </w:rPr>
    </w:lvl>
    <w:lvl w:ilvl="3">
      <w:start w:val="1"/>
      <w:numFmt w:val="decimal"/>
      <w:lvlText w:val="%1.%2.%3.%4."/>
      <w:lvlJc w:val="left"/>
      <w:pPr>
        <w:ind w:left="1850" w:hanging="736"/>
        <w:jc w:val="left"/>
      </w:pPr>
      <w:rPr>
        <w:rFonts w:hint="default" w:ascii="Times New Roman" w:hAnsi="Times New Roman" w:eastAsia="Times New Roman" w:cs="Times New Roman"/>
        <w:spacing w:val="-4"/>
        <w:w w:val="99"/>
        <w:sz w:val="24"/>
        <w:szCs w:val="24"/>
        <w:lang w:val="fr-FR" w:eastAsia="fr-FR" w:bidi="fr-FR"/>
      </w:rPr>
    </w:lvl>
    <w:lvl w:ilvl="4">
      <w:start w:val="0"/>
      <w:numFmt w:val="bullet"/>
      <w:lvlText w:val="•"/>
      <w:lvlJc w:val="left"/>
      <w:pPr>
        <w:ind w:left="4185" w:hanging="736"/>
      </w:pPr>
      <w:rPr>
        <w:rFonts w:hint="default"/>
        <w:lang w:val="fr-FR" w:eastAsia="fr-FR" w:bidi="fr-FR"/>
      </w:rPr>
    </w:lvl>
    <w:lvl w:ilvl="5">
      <w:start w:val="0"/>
      <w:numFmt w:val="bullet"/>
      <w:lvlText w:val="•"/>
      <w:lvlJc w:val="left"/>
      <w:pPr>
        <w:ind w:left="5347" w:hanging="736"/>
      </w:pPr>
      <w:rPr>
        <w:rFonts w:hint="default"/>
        <w:lang w:val="fr-FR" w:eastAsia="fr-FR" w:bidi="fr-FR"/>
      </w:rPr>
    </w:lvl>
    <w:lvl w:ilvl="6">
      <w:start w:val="0"/>
      <w:numFmt w:val="bullet"/>
      <w:lvlText w:val="•"/>
      <w:lvlJc w:val="left"/>
      <w:pPr>
        <w:ind w:left="6510" w:hanging="736"/>
      </w:pPr>
      <w:rPr>
        <w:rFonts w:hint="default"/>
        <w:lang w:val="fr-FR" w:eastAsia="fr-FR" w:bidi="fr-FR"/>
      </w:rPr>
    </w:lvl>
    <w:lvl w:ilvl="7">
      <w:start w:val="0"/>
      <w:numFmt w:val="bullet"/>
      <w:lvlText w:val="•"/>
      <w:lvlJc w:val="left"/>
      <w:pPr>
        <w:ind w:left="7672" w:hanging="736"/>
      </w:pPr>
      <w:rPr>
        <w:rFonts w:hint="default"/>
        <w:lang w:val="fr-FR" w:eastAsia="fr-FR" w:bidi="fr-FR"/>
      </w:rPr>
    </w:lvl>
    <w:lvl w:ilvl="8">
      <w:start w:val="0"/>
      <w:numFmt w:val="bullet"/>
      <w:lvlText w:val="•"/>
      <w:lvlJc w:val="left"/>
      <w:pPr>
        <w:ind w:left="8835" w:hanging="736"/>
      </w:pPr>
      <w:rPr>
        <w:rFonts w:hint="default"/>
        <w:lang w:val="fr-FR" w:eastAsia="fr-FR" w:bidi="fr-FR"/>
      </w:rPr>
    </w:lvl>
  </w:abstract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fr-FR" w:eastAsia="fr-FR" w:bidi="fr-FR"/>
    </w:rPr>
  </w:style>
  <w:style w:styleId="TOC1" w:type="paragraph">
    <w:name w:val="TOC 1"/>
    <w:basedOn w:val="Normal"/>
    <w:uiPriority w:val="1"/>
    <w:qFormat/>
    <w:pPr>
      <w:spacing w:before="560"/>
      <w:ind w:left="675"/>
    </w:pPr>
    <w:rPr>
      <w:rFonts w:ascii="Times New Roman" w:hAnsi="Times New Roman" w:eastAsia="Times New Roman" w:cs="Times New Roman"/>
      <w:b/>
      <w:bCs/>
      <w:sz w:val="24"/>
      <w:szCs w:val="24"/>
      <w:lang w:val="fr-FR" w:eastAsia="fr-FR" w:bidi="fr-FR"/>
    </w:rPr>
  </w:style>
  <w:style w:styleId="TOC2" w:type="paragraph">
    <w:name w:val="TOC 2"/>
    <w:basedOn w:val="Normal"/>
    <w:uiPriority w:val="1"/>
    <w:qFormat/>
    <w:pPr>
      <w:spacing w:before="144"/>
      <w:ind w:left="992" w:hanging="543"/>
    </w:pPr>
    <w:rPr>
      <w:rFonts w:ascii="Times New Roman" w:hAnsi="Times New Roman" w:eastAsia="Times New Roman" w:cs="Times New Roman"/>
      <w:sz w:val="24"/>
      <w:szCs w:val="24"/>
      <w:lang w:val="fr-FR" w:eastAsia="fr-FR" w:bidi="fr-FR"/>
    </w:rPr>
  </w:style>
  <w:style w:styleId="TOC3" w:type="paragraph">
    <w:name w:val="TOC 3"/>
    <w:basedOn w:val="Normal"/>
    <w:uiPriority w:val="1"/>
    <w:qFormat/>
    <w:pPr>
      <w:spacing w:before="140"/>
      <w:ind w:left="1610" w:hanging="715"/>
    </w:pPr>
    <w:rPr>
      <w:rFonts w:ascii="Times New Roman" w:hAnsi="Times New Roman" w:eastAsia="Times New Roman" w:cs="Times New Roman"/>
      <w:sz w:val="24"/>
      <w:szCs w:val="24"/>
      <w:lang w:val="fr-FR" w:eastAsia="fr-FR" w:bidi="fr-FR"/>
    </w:rPr>
  </w:style>
  <w:style w:styleId="TOC4" w:type="paragraph">
    <w:name w:val="TOC 4"/>
    <w:basedOn w:val="Normal"/>
    <w:uiPriority w:val="1"/>
    <w:qFormat/>
    <w:pPr>
      <w:spacing w:before="140"/>
      <w:ind w:left="1938" w:hanging="823"/>
    </w:pPr>
    <w:rPr>
      <w:rFonts w:ascii="Times New Roman" w:hAnsi="Times New Roman" w:eastAsia="Times New Roman" w:cs="Times New Roman"/>
      <w:sz w:val="24"/>
      <w:szCs w:val="24"/>
      <w:lang w:val="fr-FR" w:eastAsia="fr-FR" w:bidi="fr-FR"/>
    </w:rPr>
  </w:style>
  <w:style w:styleId="TOC5" w:type="paragraph">
    <w:name w:val="TOC 5"/>
    <w:basedOn w:val="Normal"/>
    <w:uiPriority w:val="1"/>
    <w:qFormat/>
    <w:pPr>
      <w:spacing w:before="563"/>
      <w:ind w:left="2115"/>
    </w:pPr>
    <w:rPr>
      <w:rFonts w:ascii="Times New Roman" w:hAnsi="Times New Roman" w:eastAsia="Times New Roman" w:cs="Times New Roman"/>
      <w:b/>
      <w:bCs/>
      <w:sz w:val="24"/>
      <w:szCs w:val="24"/>
      <w:lang w:val="fr-FR" w:eastAsia="fr-FR" w:bidi="fr-FR"/>
    </w:rPr>
  </w:style>
  <w:style w:styleId="TOC6" w:type="paragraph">
    <w:name w:val="TOC 6"/>
    <w:basedOn w:val="Normal"/>
    <w:uiPriority w:val="1"/>
    <w:qFormat/>
    <w:pPr>
      <w:spacing w:before="563"/>
      <w:ind w:left="2414"/>
    </w:pPr>
    <w:rPr>
      <w:rFonts w:ascii="Times New Roman" w:hAnsi="Times New Roman" w:eastAsia="Times New Roman" w:cs="Times New Roman"/>
      <w:b/>
      <w:bCs/>
      <w:sz w:val="24"/>
      <w:szCs w:val="24"/>
      <w:lang w:val="fr-FR" w:eastAsia="fr-FR" w:bidi="fr-FR"/>
    </w:rPr>
  </w:style>
  <w:style w:styleId="TOC7" w:type="paragraph">
    <w:name w:val="TOC 7"/>
    <w:basedOn w:val="Normal"/>
    <w:uiPriority w:val="1"/>
    <w:qFormat/>
    <w:pPr>
      <w:spacing w:before="564"/>
      <w:ind w:left="2774"/>
    </w:pPr>
    <w:rPr>
      <w:rFonts w:ascii="Times New Roman" w:hAnsi="Times New Roman" w:eastAsia="Times New Roman" w:cs="Times New Roman"/>
      <w:b/>
      <w:bCs/>
      <w:sz w:val="24"/>
      <w:szCs w:val="24"/>
      <w:lang w:val="fr-FR" w:eastAsia="fr-FR" w:bidi="fr-FR"/>
    </w:rPr>
  </w:style>
  <w:style w:styleId="TOC8" w:type="paragraph">
    <w:name w:val="TOC 8"/>
    <w:basedOn w:val="Normal"/>
    <w:uiPriority w:val="1"/>
    <w:qFormat/>
    <w:pPr>
      <w:spacing w:before="560"/>
      <w:ind w:left="3430"/>
    </w:pPr>
    <w:rPr>
      <w:rFonts w:ascii="Times New Roman" w:hAnsi="Times New Roman" w:eastAsia="Times New Roman" w:cs="Times New Roman"/>
      <w:b/>
      <w:bCs/>
      <w:sz w:val="24"/>
      <w:szCs w:val="24"/>
      <w:lang w:val="fr-FR" w:eastAsia="fr-FR" w:bidi="fr-FR"/>
    </w:rPr>
  </w:style>
  <w:style w:styleId="BodyText" w:type="paragraph">
    <w:name w:val="Body Text"/>
    <w:basedOn w:val="Normal"/>
    <w:uiPriority w:val="1"/>
    <w:qFormat/>
    <w:pPr/>
    <w:rPr>
      <w:rFonts w:ascii="Times New Roman" w:hAnsi="Times New Roman" w:eastAsia="Times New Roman" w:cs="Times New Roman"/>
      <w:sz w:val="24"/>
      <w:szCs w:val="24"/>
      <w:lang w:val="fr-FR" w:eastAsia="fr-FR" w:bidi="fr-FR"/>
    </w:rPr>
  </w:style>
  <w:style w:styleId="Heading1" w:type="paragraph">
    <w:name w:val="Heading 1"/>
    <w:basedOn w:val="Normal"/>
    <w:uiPriority w:val="1"/>
    <w:qFormat/>
    <w:pPr>
      <w:spacing w:before="59"/>
      <w:ind w:left="1739"/>
      <w:outlineLvl w:val="1"/>
    </w:pPr>
    <w:rPr>
      <w:rFonts w:ascii="Times New Roman" w:hAnsi="Times New Roman" w:eastAsia="Times New Roman" w:cs="Times New Roman"/>
      <w:b/>
      <w:bCs/>
      <w:sz w:val="96"/>
      <w:szCs w:val="96"/>
      <w:lang w:val="fr-FR" w:eastAsia="fr-FR" w:bidi="fr-FR"/>
    </w:rPr>
  </w:style>
  <w:style w:styleId="Heading2" w:type="paragraph">
    <w:name w:val="Heading 2"/>
    <w:basedOn w:val="Normal"/>
    <w:uiPriority w:val="1"/>
    <w:qFormat/>
    <w:pPr>
      <w:spacing w:before="72"/>
      <w:ind w:left="2798"/>
      <w:outlineLvl w:val="2"/>
    </w:pPr>
    <w:rPr>
      <w:rFonts w:ascii="Lucida Calligraphy" w:hAnsi="Lucida Calligraphy" w:eastAsia="Lucida Calligraphy" w:cs="Lucida Calligraphy"/>
      <w:b/>
      <w:bCs/>
      <w:i/>
      <w:sz w:val="96"/>
      <w:szCs w:val="96"/>
      <w:lang w:val="fr-FR" w:eastAsia="fr-FR" w:bidi="fr-FR"/>
    </w:rPr>
  </w:style>
  <w:style w:styleId="Heading3" w:type="paragraph">
    <w:name w:val="Heading 3"/>
    <w:basedOn w:val="Normal"/>
    <w:uiPriority w:val="1"/>
    <w:qFormat/>
    <w:pPr>
      <w:spacing w:before="88"/>
      <w:ind w:left="675"/>
      <w:outlineLvl w:val="3"/>
    </w:pPr>
    <w:rPr>
      <w:rFonts w:ascii="Times New Roman" w:hAnsi="Times New Roman" w:eastAsia="Times New Roman" w:cs="Times New Roman"/>
      <w:b/>
      <w:bCs/>
      <w:sz w:val="28"/>
      <w:szCs w:val="28"/>
      <w:lang w:val="fr-FR" w:eastAsia="fr-FR" w:bidi="fr-FR"/>
    </w:rPr>
  </w:style>
  <w:style w:styleId="Heading4" w:type="paragraph">
    <w:name w:val="Heading 4"/>
    <w:basedOn w:val="Normal"/>
    <w:uiPriority w:val="1"/>
    <w:qFormat/>
    <w:pPr>
      <w:ind w:left="675"/>
      <w:outlineLvl w:val="4"/>
    </w:pPr>
    <w:rPr>
      <w:rFonts w:ascii="Times New Roman" w:hAnsi="Times New Roman" w:eastAsia="Times New Roman" w:cs="Times New Roman"/>
      <w:b/>
      <w:bCs/>
      <w:sz w:val="24"/>
      <w:szCs w:val="24"/>
      <w:lang w:val="fr-FR" w:eastAsia="fr-FR" w:bidi="fr-FR"/>
    </w:rPr>
  </w:style>
  <w:style w:styleId="Heading5" w:type="paragraph">
    <w:name w:val="Heading 5"/>
    <w:basedOn w:val="Normal"/>
    <w:uiPriority w:val="1"/>
    <w:qFormat/>
    <w:pPr>
      <w:spacing w:before="1"/>
      <w:ind w:left="1427" w:hanging="932"/>
      <w:outlineLvl w:val="5"/>
    </w:pPr>
    <w:rPr>
      <w:rFonts w:ascii="Times New Roman" w:hAnsi="Times New Roman" w:eastAsia="Times New Roman" w:cs="Times New Roman"/>
      <w:b/>
      <w:bCs/>
      <w:i/>
      <w:sz w:val="24"/>
      <w:szCs w:val="24"/>
      <w:lang w:val="fr-FR" w:eastAsia="fr-FR" w:bidi="fr-FR"/>
    </w:rPr>
  </w:style>
  <w:style w:styleId="ListParagraph" w:type="paragraph">
    <w:name w:val="List Paragraph"/>
    <w:basedOn w:val="Normal"/>
    <w:uiPriority w:val="1"/>
    <w:qFormat/>
    <w:pPr>
      <w:ind w:left="1394" w:hanging="359"/>
    </w:pPr>
    <w:rPr>
      <w:rFonts w:ascii="Times New Roman" w:hAnsi="Times New Roman" w:eastAsia="Times New Roman" w:cs="Times New Roman"/>
      <w:lang w:val="fr-FR" w:eastAsia="fr-FR" w:bidi="fr-FR"/>
    </w:rPr>
  </w:style>
  <w:style w:styleId="TableParagraph" w:type="paragraph">
    <w:name w:val="Table Paragraph"/>
    <w:basedOn w:val="Normal"/>
    <w:uiPriority w:val="1"/>
    <w:qFormat/>
    <w:pPr>
      <w:ind w:left="106"/>
    </w:pPr>
    <w:rPr>
      <w:rFonts w:ascii="Times New Roman" w:hAnsi="Times New Roman" w:eastAsia="Times New Roman" w:cs="Times New Roman"/>
      <w:lang w:val="fr-FR" w:eastAsia="fr-FR" w:bidi="fr-F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jpe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header" Target="header1.xml"/><Relationship Id="rId36" Type="http://schemas.openxmlformats.org/officeDocument/2006/relationships/footer" Target="footer1.xml"/><Relationship Id="rId37" Type="http://schemas.openxmlformats.org/officeDocument/2006/relationships/header" Target="header2.xml"/><Relationship Id="rId38" Type="http://schemas.openxmlformats.org/officeDocument/2006/relationships/footer" Target="footer2.xml"/><Relationship Id="rId39" Type="http://schemas.openxmlformats.org/officeDocument/2006/relationships/header" Target="header3.xml"/><Relationship Id="rId40" Type="http://schemas.openxmlformats.org/officeDocument/2006/relationships/footer" Target="footer3.xml"/><Relationship Id="rId41" Type="http://schemas.openxmlformats.org/officeDocument/2006/relationships/image" Target="media/image31.png"/><Relationship Id="rId42" Type="http://schemas.openxmlformats.org/officeDocument/2006/relationships/image" Target="media/image32.jpeg"/><Relationship Id="rId43" Type="http://schemas.openxmlformats.org/officeDocument/2006/relationships/image" Target="media/image33.png"/><Relationship Id="rId44" Type="http://schemas.openxmlformats.org/officeDocument/2006/relationships/image" Target="media/image34.jpeg"/><Relationship Id="rId45" Type="http://schemas.openxmlformats.org/officeDocument/2006/relationships/header" Target="header4.xml"/><Relationship Id="rId46" Type="http://schemas.openxmlformats.org/officeDocument/2006/relationships/footer" Target="footer4.xml"/><Relationship Id="rId47" Type="http://schemas.openxmlformats.org/officeDocument/2006/relationships/header" Target="header5.xml"/><Relationship Id="rId48" Type="http://schemas.openxmlformats.org/officeDocument/2006/relationships/footer" Target="footer5.xml"/><Relationship Id="rId49" Type="http://schemas.openxmlformats.org/officeDocument/2006/relationships/image" Target="media/image35.png"/><Relationship Id="rId50" Type="http://schemas.openxmlformats.org/officeDocument/2006/relationships/image" Target="media/image36.png"/><Relationship Id="rId51" Type="http://schemas.openxmlformats.org/officeDocument/2006/relationships/image" Target="media/image37.png"/><Relationship Id="rId52" Type="http://schemas.openxmlformats.org/officeDocument/2006/relationships/image" Target="media/image38.png"/><Relationship Id="rId53" Type="http://schemas.openxmlformats.org/officeDocument/2006/relationships/image" Target="media/image39.png"/><Relationship Id="rId54" Type="http://schemas.openxmlformats.org/officeDocument/2006/relationships/image" Target="media/image40.png"/><Relationship Id="rId55" Type="http://schemas.openxmlformats.org/officeDocument/2006/relationships/image" Target="media/image41.png"/><Relationship Id="rId56" Type="http://schemas.openxmlformats.org/officeDocument/2006/relationships/image" Target="media/image42.png"/><Relationship Id="rId57" Type="http://schemas.openxmlformats.org/officeDocument/2006/relationships/image" Target="media/image43.png"/><Relationship Id="rId58" Type="http://schemas.openxmlformats.org/officeDocument/2006/relationships/image" Target="media/image44.png"/><Relationship Id="rId59" Type="http://schemas.openxmlformats.org/officeDocument/2006/relationships/image" Target="media/image45.png"/><Relationship Id="rId60" Type="http://schemas.openxmlformats.org/officeDocument/2006/relationships/image" Target="media/image46.png"/><Relationship Id="rId61" Type="http://schemas.openxmlformats.org/officeDocument/2006/relationships/image" Target="media/image47.png"/><Relationship Id="rId62" Type="http://schemas.openxmlformats.org/officeDocument/2006/relationships/image" Target="media/image48.png"/><Relationship Id="rId63" Type="http://schemas.openxmlformats.org/officeDocument/2006/relationships/image" Target="media/image49.png"/><Relationship Id="rId64" Type="http://schemas.openxmlformats.org/officeDocument/2006/relationships/image" Target="media/image50.png"/><Relationship Id="rId65" Type="http://schemas.openxmlformats.org/officeDocument/2006/relationships/image" Target="media/image51.png"/><Relationship Id="rId66" Type="http://schemas.openxmlformats.org/officeDocument/2006/relationships/image" Target="media/image52.png"/><Relationship Id="rId67" Type="http://schemas.openxmlformats.org/officeDocument/2006/relationships/image" Target="media/image53.png"/><Relationship Id="rId68" Type="http://schemas.openxmlformats.org/officeDocument/2006/relationships/image" Target="media/image54.png"/><Relationship Id="rId69" Type="http://schemas.openxmlformats.org/officeDocument/2006/relationships/image" Target="media/image55.png"/><Relationship Id="rId70" Type="http://schemas.openxmlformats.org/officeDocument/2006/relationships/image" Target="media/image56.png"/><Relationship Id="rId71" Type="http://schemas.openxmlformats.org/officeDocument/2006/relationships/image" Target="media/image57.png"/><Relationship Id="rId72" Type="http://schemas.openxmlformats.org/officeDocument/2006/relationships/image" Target="media/image58.png"/><Relationship Id="rId73" Type="http://schemas.openxmlformats.org/officeDocument/2006/relationships/image" Target="media/image59.png"/><Relationship Id="rId74" Type="http://schemas.openxmlformats.org/officeDocument/2006/relationships/image" Target="media/image60.png"/><Relationship Id="rId75" Type="http://schemas.openxmlformats.org/officeDocument/2006/relationships/image" Target="media/image61.png"/><Relationship Id="rId76" Type="http://schemas.openxmlformats.org/officeDocument/2006/relationships/image" Target="media/image62.png"/><Relationship Id="rId77" Type="http://schemas.openxmlformats.org/officeDocument/2006/relationships/image" Target="media/image63.png"/><Relationship Id="rId78" Type="http://schemas.openxmlformats.org/officeDocument/2006/relationships/image" Target="media/image64.png"/><Relationship Id="rId79" Type="http://schemas.openxmlformats.org/officeDocument/2006/relationships/image" Target="media/image65.png"/><Relationship Id="rId80" Type="http://schemas.openxmlformats.org/officeDocument/2006/relationships/image" Target="media/image66.png"/><Relationship Id="rId81" Type="http://schemas.openxmlformats.org/officeDocument/2006/relationships/image" Target="media/image67.png"/><Relationship Id="rId82" Type="http://schemas.openxmlformats.org/officeDocument/2006/relationships/image" Target="media/image68.png"/><Relationship Id="rId83" Type="http://schemas.openxmlformats.org/officeDocument/2006/relationships/header" Target="header6.xml"/><Relationship Id="rId84" Type="http://schemas.openxmlformats.org/officeDocument/2006/relationships/footer" Target="footer6.xml"/><Relationship Id="rId85" Type="http://schemas.openxmlformats.org/officeDocument/2006/relationships/header" Target="header7.xml"/><Relationship Id="rId86" Type="http://schemas.openxmlformats.org/officeDocument/2006/relationships/footer" Target="footer7.xml"/><Relationship Id="rId87" Type="http://schemas.openxmlformats.org/officeDocument/2006/relationships/image" Target="media/image69.png"/><Relationship Id="rId88" Type="http://schemas.openxmlformats.org/officeDocument/2006/relationships/image" Target="media/image70.jpeg"/><Relationship Id="rId89" Type="http://schemas.openxmlformats.org/officeDocument/2006/relationships/image" Target="media/image71.png"/><Relationship Id="rId90" Type="http://schemas.openxmlformats.org/officeDocument/2006/relationships/image" Target="media/image72.jpeg"/><Relationship Id="rId91" Type="http://schemas.openxmlformats.org/officeDocument/2006/relationships/image" Target="media/image73.png"/><Relationship Id="rId92" Type="http://schemas.openxmlformats.org/officeDocument/2006/relationships/image" Target="media/image74.jpeg"/><Relationship Id="rId93" Type="http://schemas.openxmlformats.org/officeDocument/2006/relationships/image" Target="media/image75.png"/><Relationship Id="rId94" Type="http://schemas.openxmlformats.org/officeDocument/2006/relationships/image" Target="media/image76.jpeg"/><Relationship Id="rId95" Type="http://schemas.openxmlformats.org/officeDocument/2006/relationships/image" Target="media/image77.png"/><Relationship Id="rId96" Type="http://schemas.openxmlformats.org/officeDocument/2006/relationships/image" Target="media/image78.jpeg"/><Relationship Id="rId97" Type="http://schemas.openxmlformats.org/officeDocument/2006/relationships/image" Target="media/image79.png"/><Relationship Id="rId98" Type="http://schemas.openxmlformats.org/officeDocument/2006/relationships/image" Target="media/image80.jpeg"/><Relationship Id="rId99" Type="http://schemas.openxmlformats.org/officeDocument/2006/relationships/image" Target="media/image81.png"/><Relationship Id="rId100" Type="http://schemas.openxmlformats.org/officeDocument/2006/relationships/image" Target="media/image82.jpeg"/><Relationship Id="rId101" Type="http://schemas.openxmlformats.org/officeDocument/2006/relationships/image" Target="media/image83.png"/><Relationship Id="rId102" Type="http://schemas.openxmlformats.org/officeDocument/2006/relationships/image" Target="media/image84.jpeg"/><Relationship Id="rId103" Type="http://schemas.openxmlformats.org/officeDocument/2006/relationships/image" Target="media/image85.png"/><Relationship Id="rId104" Type="http://schemas.openxmlformats.org/officeDocument/2006/relationships/image" Target="media/image86.jpeg"/><Relationship Id="rId105" Type="http://schemas.openxmlformats.org/officeDocument/2006/relationships/image" Target="media/image87.png"/><Relationship Id="rId106" Type="http://schemas.openxmlformats.org/officeDocument/2006/relationships/image" Target="media/image88.jpeg"/><Relationship Id="rId107" Type="http://schemas.openxmlformats.org/officeDocument/2006/relationships/image" Target="media/image89.png"/><Relationship Id="rId108" Type="http://schemas.openxmlformats.org/officeDocument/2006/relationships/image" Target="media/image90.jpeg"/><Relationship Id="rId109" Type="http://schemas.openxmlformats.org/officeDocument/2006/relationships/image" Target="media/image91.png"/><Relationship Id="rId110" Type="http://schemas.openxmlformats.org/officeDocument/2006/relationships/image" Target="media/image92.png"/><Relationship Id="rId111" Type="http://schemas.openxmlformats.org/officeDocument/2006/relationships/image" Target="media/image93.jpeg"/><Relationship Id="rId112" Type="http://schemas.openxmlformats.org/officeDocument/2006/relationships/image" Target="media/image94.png"/><Relationship Id="rId113" Type="http://schemas.openxmlformats.org/officeDocument/2006/relationships/image" Target="media/image95.jpeg"/><Relationship Id="rId114" Type="http://schemas.openxmlformats.org/officeDocument/2006/relationships/header" Target="header8.xml"/><Relationship Id="rId115" Type="http://schemas.openxmlformats.org/officeDocument/2006/relationships/footer" Target="footer8.xml"/><Relationship Id="rId116" Type="http://schemas.openxmlformats.org/officeDocument/2006/relationships/header" Target="header9.xml"/><Relationship Id="rId117" Type="http://schemas.openxmlformats.org/officeDocument/2006/relationships/footer" Target="footer9.xml"/><Relationship Id="rId118" Type="http://schemas.openxmlformats.org/officeDocument/2006/relationships/image" Target="media/image96.png"/><Relationship Id="rId119" Type="http://schemas.openxmlformats.org/officeDocument/2006/relationships/image" Target="media/image97.png"/><Relationship Id="rId120" Type="http://schemas.openxmlformats.org/officeDocument/2006/relationships/image" Target="media/image98.png"/><Relationship Id="rId121" Type="http://schemas.openxmlformats.org/officeDocument/2006/relationships/image" Target="media/image99.png"/><Relationship Id="rId122" Type="http://schemas.openxmlformats.org/officeDocument/2006/relationships/image" Target="media/image100.png"/><Relationship Id="rId123" Type="http://schemas.openxmlformats.org/officeDocument/2006/relationships/image" Target="media/image101.png"/><Relationship Id="rId124" Type="http://schemas.openxmlformats.org/officeDocument/2006/relationships/image" Target="media/image102.png"/><Relationship Id="rId125" Type="http://schemas.openxmlformats.org/officeDocument/2006/relationships/image" Target="media/image103.png"/><Relationship Id="rId126" Type="http://schemas.openxmlformats.org/officeDocument/2006/relationships/image" Target="media/image104.png"/><Relationship Id="rId127" Type="http://schemas.openxmlformats.org/officeDocument/2006/relationships/image" Target="media/image105.png"/><Relationship Id="rId128" Type="http://schemas.openxmlformats.org/officeDocument/2006/relationships/image" Target="media/image106.png"/><Relationship Id="rId129" Type="http://schemas.openxmlformats.org/officeDocument/2006/relationships/image" Target="media/image107.png"/><Relationship Id="rId130" Type="http://schemas.openxmlformats.org/officeDocument/2006/relationships/image" Target="media/image108.png"/><Relationship Id="rId131" Type="http://schemas.openxmlformats.org/officeDocument/2006/relationships/image" Target="media/image109.png"/><Relationship Id="rId132" Type="http://schemas.openxmlformats.org/officeDocument/2006/relationships/image" Target="media/image110.png"/><Relationship Id="rId133" Type="http://schemas.openxmlformats.org/officeDocument/2006/relationships/image" Target="media/image111.png"/><Relationship Id="rId134" Type="http://schemas.openxmlformats.org/officeDocument/2006/relationships/image" Target="media/image112.png"/><Relationship Id="rId135" Type="http://schemas.openxmlformats.org/officeDocument/2006/relationships/image" Target="media/image113.png"/><Relationship Id="rId136" Type="http://schemas.openxmlformats.org/officeDocument/2006/relationships/image" Target="media/image114.png"/><Relationship Id="rId137" Type="http://schemas.openxmlformats.org/officeDocument/2006/relationships/image" Target="media/image115.png"/><Relationship Id="rId138" Type="http://schemas.openxmlformats.org/officeDocument/2006/relationships/image" Target="media/image116.png"/><Relationship Id="rId139" Type="http://schemas.openxmlformats.org/officeDocument/2006/relationships/header" Target="header10.xml"/><Relationship Id="rId140" Type="http://schemas.openxmlformats.org/officeDocument/2006/relationships/footer" Target="footer10.xml"/><Relationship Id="rId141" Type="http://schemas.openxmlformats.org/officeDocument/2006/relationships/header" Target="header11.xml"/><Relationship Id="rId142" Type="http://schemas.openxmlformats.org/officeDocument/2006/relationships/footer" Target="footer11.xml"/><Relationship Id="rId143" Type="http://schemas.openxmlformats.org/officeDocument/2006/relationships/header" Target="header12.xml"/><Relationship Id="rId144" Type="http://schemas.openxmlformats.org/officeDocument/2006/relationships/footer" Target="footer12.xml"/><Relationship Id="rId145" Type="http://schemas.openxmlformats.org/officeDocument/2006/relationships/header" Target="header13.xml"/><Relationship Id="rId146" Type="http://schemas.openxmlformats.org/officeDocument/2006/relationships/footer" Target="footer13.xml"/><Relationship Id="rId147" Type="http://schemas.openxmlformats.org/officeDocument/2006/relationships/header" Target="header14.xml"/><Relationship Id="rId148" Type="http://schemas.openxmlformats.org/officeDocument/2006/relationships/footer" Target="footer14.xml"/><Relationship Id="rId149" Type="http://schemas.openxmlformats.org/officeDocument/2006/relationships/header" Target="header15.xml"/><Relationship Id="rId150" Type="http://schemas.openxmlformats.org/officeDocument/2006/relationships/footer" Target="footer15.xml"/><Relationship Id="rId151" Type="http://schemas.openxmlformats.org/officeDocument/2006/relationships/header" Target="header16.xml"/><Relationship Id="rId152" Type="http://schemas.openxmlformats.org/officeDocument/2006/relationships/footer" Target="footer16.xml"/><Relationship Id="rId153" Type="http://schemas.openxmlformats.org/officeDocument/2006/relationships/header" Target="header17.xml"/><Relationship Id="rId154" Type="http://schemas.openxmlformats.org/officeDocument/2006/relationships/footer" Target="footer17.xml"/><Relationship Id="rId155" Type="http://schemas.openxmlformats.org/officeDocument/2006/relationships/hyperlink" Target="http://www.lenntech.fr/francais/eaux-souterraines/proprietes.htm" TargetMode="External"/><Relationship Id="rId156" Type="http://schemas.openxmlformats.org/officeDocument/2006/relationships/hyperlink" Target="http://www.sciencesetavenir.fr/sante/20110617.OBS5354/escherichia-coli-une-souche-" TargetMode="External"/><Relationship Id="rId157" Type="http://schemas.openxmlformats.org/officeDocument/2006/relationships/hyperlink" Target="http://www.ecolab.com/innovation/microbial-risks/campylobacter/" TargetMode="External"/><Relationship Id="rId158" Type="http://schemas.openxmlformats.org/officeDocument/2006/relationships/hyperlink" Target="http://www.lenntech.com/" TargetMode="External"/><Relationship Id="rId159" Type="http://schemas.openxmlformats.org/officeDocument/2006/relationships/hyperlink" Target="http://www.lenntech.fr/bibliotheque/maladies/fluorose/maladie-hydrique/fluorose.htm" TargetMode="External"/><Relationship Id="rId160" Type="http://schemas.openxmlformats.org/officeDocument/2006/relationships/hyperlink" Target="http://www.futura-sciences.com/magazines/environnement/infos/qr/d/eau-sont-etapes-" TargetMode="External"/><Relationship Id="rId161" Type="http://schemas.openxmlformats.org/officeDocument/2006/relationships/header" Target="header18.xml"/><Relationship Id="rId162" Type="http://schemas.openxmlformats.org/officeDocument/2006/relationships/footer" Target="footer18.xml"/><Relationship Id="rId163" Type="http://schemas.openxmlformats.org/officeDocument/2006/relationships/header" Target="header19.xml"/><Relationship Id="rId164" Type="http://schemas.openxmlformats.org/officeDocument/2006/relationships/footer" Target="footer19.xml"/><Relationship Id="rId165" Type="http://schemas.openxmlformats.org/officeDocument/2006/relationships/header" Target="header20.xml"/><Relationship Id="rId166" Type="http://schemas.openxmlformats.org/officeDocument/2006/relationships/footer" Target="footer20.xml"/><Relationship Id="rId167" Type="http://schemas.openxmlformats.org/officeDocument/2006/relationships/header" Target="header21.xml"/><Relationship Id="rId168" Type="http://schemas.openxmlformats.org/officeDocument/2006/relationships/footer" Target="footer21.xml"/><Relationship Id="rId169" Type="http://schemas.openxmlformats.org/officeDocument/2006/relationships/header" Target="header22.xml"/><Relationship Id="rId170" Type="http://schemas.openxmlformats.org/officeDocument/2006/relationships/footer" Target="footer22.xml"/><Relationship Id="rId171" Type="http://schemas.openxmlformats.org/officeDocument/2006/relationships/header" Target="header23.xml"/><Relationship Id="rId172" Type="http://schemas.openxmlformats.org/officeDocument/2006/relationships/footer" Target="footer23.xml"/><Relationship Id="rId173" Type="http://schemas.openxmlformats.org/officeDocument/2006/relationships/header" Target="header24.xml"/><Relationship Id="rId174" Type="http://schemas.openxmlformats.org/officeDocument/2006/relationships/footer" Target="footer24.xml"/><Relationship Id="rId175" Type="http://schemas.openxmlformats.org/officeDocument/2006/relationships/header" Target="header25.xml"/><Relationship Id="rId176" Type="http://schemas.openxmlformats.org/officeDocument/2006/relationships/footer" Target="footer25.xml"/><Relationship Id="rId177" Type="http://schemas.openxmlformats.org/officeDocument/2006/relationships/header" Target="header26.xml"/><Relationship Id="rId178" Type="http://schemas.openxmlformats.org/officeDocument/2006/relationships/footer" Target="footer26.xml"/><Relationship Id="rId179" Type="http://schemas.openxmlformats.org/officeDocument/2006/relationships/header" Target="header27.xml"/><Relationship Id="rId180" Type="http://schemas.openxmlformats.org/officeDocument/2006/relationships/footer" Target="footer27.xml"/><Relationship Id="rId18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2019-02-05T13:45:57Z</dcterms:created>
  <dcterms:modified xsi:type="dcterms:W3CDTF">2019-02-05T13:45:57Z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2016-07-10T00:00:00Z</vt:filetime>
  </property>
  <property fmtid="{D5CDD505-2E9C-101B-9397-08002B2CF9AE}" pid="3" name="LastSaved">
    <vt:filetime>2016-07-10T00:00:00Z</vt:filetime>
  </property>
</Properties>
</file>